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3F5A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highlight w:val="none"/>
          <w:u w:val="none"/>
          <w:lang w:eastAsia="zh-CN"/>
        </w:rPr>
      </w:pPr>
      <w:r>
        <w:rPr>
          <w:rFonts w:hint="eastAsia" w:ascii="方正小标宋简体" w:hAnsi="方正小标宋简体" w:eastAsia="方正小标宋简体" w:cs="方正小标宋简体"/>
          <w:sz w:val="44"/>
          <w:szCs w:val="44"/>
          <w:highlight w:val="none"/>
          <w:u w:val="none"/>
          <w:lang w:eastAsia="zh-CN"/>
        </w:rPr>
        <w:t>深入推进高素质技能人才队伍建设若干举措（征求意见稿）</w:t>
      </w:r>
    </w:p>
    <w:p w14:paraId="1BB88D6B">
      <w:pPr>
        <w:keepNext w:val="0"/>
        <w:keepLines w:val="0"/>
        <w:pageBreakBefore w:val="0"/>
        <w:widowControl/>
        <w:suppressLineNumbers w:val="0"/>
        <w:kinsoku/>
        <w:wordWrap/>
        <w:overflowPunct/>
        <w:topLinePunct w:val="0"/>
        <w:autoSpaceDE/>
        <w:autoSpaceDN/>
        <w:bidi w:val="0"/>
        <w:adjustRightInd/>
        <w:snapToGrid/>
        <w:spacing w:line="579" w:lineRule="exact"/>
        <w:ind w:firstLine="620" w:firstLineChars="200"/>
        <w:jc w:val="left"/>
        <w:textAlignment w:val="auto"/>
        <w:rPr>
          <w:rFonts w:hint="eastAsia" w:ascii="仿宋_GB2312" w:hAnsi="宋体" w:eastAsia="仿宋_GB2312" w:cs="仿宋_GB2312"/>
          <w:color w:val="000000"/>
          <w:kern w:val="0"/>
          <w:sz w:val="31"/>
          <w:szCs w:val="31"/>
          <w:u w:val="none"/>
          <w:lang w:val="en-US" w:eastAsia="zh-CN" w:bidi="ar"/>
        </w:rPr>
      </w:pPr>
    </w:p>
    <w:p w14:paraId="629DF522">
      <w:pPr>
        <w:keepNext w:val="0"/>
        <w:keepLines w:val="0"/>
        <w:pageBreakBefore w:val="0"/>
        <w:widowControl/>
        <w:suppressLineNumbers w:val="0"/>
        <w:kinsoku/>
        <w:wordWrap/>
        <w:overflowPunct/>
        <w:topLinePunct w:val="0"/>
        <w:autoSpaceDE/>
        <w:autoSpaceDN/>
        <w:bidi w:val="0"/>
        <w:adjustRightInd/>
        <w:snapToGrid/>
        <w:spacing w:line="579" w:lineRule="exact"/>
        <w:ind w:firstLine="620" w:firstLineChars="200"/>
        <w:jc w:val="left"/>
        <w:textAlignment w:val="auto"/>
        <w:rPr>
          <w:rFonts w:hint="eastAsia" w:ascii="仿宋_GB2312" w:hAnsi="宋体" w:eastAsia="仿宋_GB2312" w:cs="仿宋_GB2312"/>
          <w:color w:val="000000"/>
          <w:kern w:val="0"/>
          <w:sz w:val="31"/>
          <w:szCs w:val="31"/>
          <w:u w:val="none"/>
          <w:lang w:val="en-US" w:eastAsia="zh-CN" w:bidi="ar"/>
        </w:rPr>
      </w:pPr>
      <w:r>
        <w:rPr>
          <w:rFonts w:hint="eastAsia" w:ascii="仿宋_GB2312" w:hAnsi="宋体" w:eastAsia="仿宋_GB2312" w:cs="仿宋_GB2312"/>
          <w:color w:val="000000"/>
          <w:kern w:val="0"/>
          <w:sz w:val="31"/>
          <w:szCs w:val="31"/>
          <w:u w:val="none"/>
          <w:lang w:val="en-US" w:eastAsia="zh-CN" w:bidi="ar"/>
        </w:rPr>
        <w:t>为深入贯彻习近平总书记关于技能人才工作的重要指示批示精神，全面落实安徽省人民政府关于《深入推进高素质技能人才队伍建设若干措施》（</w:t>
      </w:r>
      <w:bookmarkStart w:id="0" w:name="strDocNo"/>
      <w:r>
        <w:rPr>
          <w:rFonts w:hint="eastAsia" w:ascii="仿宋_GB2312" w:hAnsi="宋体" w:eastAsia="仿宋_GB2312" w:cs="仿宋_GB2312"/>
          <w:color w:val="000000"/>
          <w:kern w:val="0"/>
          <w:sz w:val="31"/>
          <w:szCs w:val="31"/>
          <w:u w:val="none"/>
          <w:lang w:val="en-US" w:eastAsia="zh-CN" w:bidi="ar"/>
        </w:rPr>
        <w:t>皖政〔2025〕98</w:t>
      </w:r>
      <w:bookmarkEnd w:id="0"/>
      <w:r>
        <w:rPr>
          <w:rFonts w:hint="eastAsia" w:ascii="仿宋_GB2312" w:hAnsi="宋体" w:eastAsia="仿宋_GB2312" w:cs="仿宋_GB2312"/>
          <w:color w:val="000000"/>
          <w:kern w:val="0"/>
          <w:sz w:val="31"/>
          <w:szCs w:val="31"/>
          <w:u w:val="none"/>
          <w:lang w:val="en-US" w:eastAsia="zh-CN" w:bidi="ar"/>
        </w:rPr>
        <w:t>号），着力建设一支规模提升、结构合理、技艺精湛的高技能人才队伍，制定本落实举措。</w:t>
      </w:r>
    </w:p>
    <w:p w14:paraId="2BD7B136">
      <w:pPr>
        <w:keepNext w:val="0"/>
        <w:keepLines w:val="0"/>
        <w:pageBreakBefore w:val="0"/>
        <w:widowControl/>
        <w:suppressLineNumbers w:val="0"/>
        <w:kinsoku/>
        <w:wordWrap/>
        <w:overflowPunct/>
        <w:topLinePunct w:val="0"/>
        <w:autoSpaceDE/>
        <w:autoSpaceDN/>
        <w:bidi w:val="0"/>
        <w:adjustRightInd/>
        <w:snapToGrid/>
        <w:spacing w:line="579" w:lineRule="exact"/>
        <w:ind w:firstLine="620" w:firstLineChars="200"/>
        <w:jc w:val="left"/>
        <w:textAlignment w:val="auto"/>
        <w:rPr>
          <w:rFonts w:hint="eastAsia" w:ascii="黑体" w:hAnsi="黑体" w:eastAsia="黑体" w:cs="黑体"/>
          <w:color w:val="000000"/>
          <w:kern w:val="0"/>
          <w:sz w:val="31"/>
          <w:szCs w:val="31"/>
          <w:u w:val="none"/>
          <w:lang w:val="en-US" w:eastAsia="zh-CN" w:bidi="ar"/>
        </w:rPr>
      </w:pPr>
      <w:r>
        <w:rPr>
          <w:rFonts w:hint="eastAsia" w:ascii="黑体" w:hAnsi="黑体" w:eastAsia="黑体" w:cs="黑体"/>
          <w:color w:val="000000"/>
          <w:kern w:val="0"/>
          <w:sz w:val="31"/>
          <w:szCs w:val="31"/>
          <w:u w:val="none"/>
          <w:lang w:val="en-US" w:eastAsia="zh-CN" w:bidi="ar"/>
        </w:rPr>
        <w:t>一、主要目标</w:t>
      </w:r>
    </w:p>
    <w:p w14:paraId="19243F2C">
      <w:pPr>
        <w:keepNext w:val="0"/>
        <w:keepLines w:val="0"/>
        <w:pageBreakBefore w:val="0"/>
        <w:widowControl/>
        <w:suppressLineNumbers w:val="0"/>
        <w:kinsoku/>
        <w:wordWrap/>
        <w:overflowPunct/>
        <w:topLinePunct w:val="0"/>
        <w:autoSpaceDE/>
        <w:autoSpaceDN/>
        <w:bidi w:val="0"/>
        <w:adjustRightInd/>
        <w:snapToGrid/>
        <w:spacing w:line="579" w:lineRule="exact"/>
        <w:ind w:firstLine="620" w:firstLineChars="200"/>
        <w:jc w:val="left"/>
        <w:textAlignment w:val="auto"/>
        <w:rPr>
          <w:rFonts w:hint="eastAsia" w:ascii="仿宋_GB2312" w:hAnsi="宋体" w:eastAsia="仿宋_GB2312" w:cs="仿宋_GB2312"/>
          <w:color w:val="000000"/>
          <w:kern w:val="0"/>
          <w:sz w:val="31"/>
          <w:szCs w:val="31"/>
          <w:u w:val="none"/>
          <w:lang w:val="en-US" w:eastAsia="zh-CN" w:bidi="ar"/>
        </w:rPr>
      </w:pPr>
      <w:r>
        <w:rPr>
          <w:rFonts w:hint="eastAsia" w:ascii="仿宋_GB2312" w:hAnsi="宋体" w:eastAsia="仿宋_GB2312" w:cs="仿宋_GB2312"/>
          <w:color w:val="000000"/>
          <w:kern w:val="0"/>
          <w:sz w:val="31"/>
          <w:szCs w:val="31"/>
          <w:u w:val="none"/>
          <w:lang w:val="en-US" w:eastAsia="zh-CN" w:bidi="ar"/>
        </w:rPr>
        <w:t>围绕加强技能人才队伍建设，推动技能人才供给与社会经济发展动态适配，逐步缓解结构性就业矛盾，推动我市高质量发展。实现到2030年，全市技能人才总量达到60万人以上，其中高技能人才总量21万人以上，全市技能人才占就业人员比例达到30%以上。</w:t>
      </w:r>
    </w:p>
    <w:p w14:paraId="4780EEEB">
      <w:pPr>
        <w:keepNext w:val="0"/>
        <w:keepLines w:val="0"/>
        <w:pageBreakBefore w:val="0"/>
        <w:widowControl/>
        <w:suppressLineNumbers w:val="0"/>
        <w:kinsoku/>
        <w:wordWrap/>
        <w:overflowPunct/>
        <w:topLinePunct w:val="0"/>
        <w:autoSpaceDE/>
        <w:autoSpaceDN/>
        <w:bidi w:val="0"/>
        <w:adjustRightInd/>
        <w:snapToGrid/>
        <w:spacing w:line="579" w:lineRule="exact"/>
        <w:ind w:firstLine="620" w:firstLineChars="200"/>
        <w:jc w:val="left"/>
        <w:textAlignment w:val="auto"/>
        <w:rPr>
          <w:rFonts w:hint="eastAsia" w:ascii="黑体" w:hAnsi="黑体" w:eastAsia="黑体" w:cs="黑体"/>
          <w:color w:val="000000"/>
          <w:kern w:val="0"/>
          <w:sz w:val="31"/>
          <w:szCs w:val="31"/>
          <w:u w:val="none"/>
          <w:lang w:val="en-US" w:eastAsia="zh-CN" w:bidi="ar"/>
        </w:rPr>
      </w:pPr>
      <w:r>
        <w:rPr>
          <w:rFonts w:hint="eastAsia" w:ascii="黑体" w:hAnsi="黑体" w:eastAsia="黑体" w:cs="黑体"/>
          <w:color w:val="000000"/>
          <w:kern w:val="0"/>
          <w:sz w:val="31"/>
          <w:szCs w:val="31"/>
          <w:u w:val="none"/>
          <w:lang w:val="en-US" w:eastAsia="zh-CN" w:bidi="ar"/>
        </w:rPr>
        <w:t>二、重点措施</w:t>
      </w:r>
      <w:bookmarkStart w:id="1" w:name="_GoBack"/>
      <w:bookmarkEnd w:id="1"/>
    </w:p>
    <w:p w14:paraId="204EF414">
      <w:pPr>
        <w:keepNext w:val="0"/>
        <w:keepLines w:val="0"/>
        <w:pageBreakBefore w:val="0"/>
        <w:widowControl/>
        <w:suppressLineNumbers w:val="0"/>
        <w:kinsoku/>
        <w:wordWrap/>
        <w:overflowPunct/>
        <w:topLinePunct w:val="0"/>
        <w:autoSpaceDE/>
        <w:autoSpaceDN/>
        <w:bidi w:val="0"/>
        <w:adjustRightInd/>
        <w:snapToGrid/>
        <w:spacing w:line="579" w:lineRule="exact"/>
        <w:ind w:firstLine="622" w:firstLineChars="200"/>
        <w:jc w:val="left"/>
        <w:textAlignment w:val="auto"/>
        <w:rPr>
          <w:rFonts w:hint="eastAsia" w:ascii="楷体_GB2312" w:hAnsi="楷体_GB2312" w:eastAsia="楷体_GB2312" w:cs="楷体_GB2312"/>
          <w:b/>
          <w:bCs/>
          <w:color w:val="000000"/>
          <w:kern w:val="0"/>
          <w:sz w:val="31"/>
          <w:szCs w:val="31"/>
          <w:u w:val="none"/>
          <w:lang w:val="en-US" w:eastAsia="zh-CN" w:bidi="ar"/>
        </w:rPr>
      </w:pPr>
      <w:r>
        <w:rPr>
          <w:rFonts w:hint="eastAsia" w:ascii="楷体_GB2312" w:hAnsi="楷体_GB2312" w:eastAsia="楷体_GB2312" w:cs="楷体_GB2312"/>
          <w:b/>
          <w:bCs/>
          <w:color w:val="000000"/>
          <w:kern w:val="0"/>
          <w:sz w:val="31"/>
          <w:szCs w:val="31"/>
          <w:u w:val="none"/>
          <w:lang w:val="en-US" w:eastAsia="zh-CN" w:bidi="ar"/>
        </w:rPr>
        <w:t>（一）技工教育创新发展提优行动。</w:t>
      </w:r>
    </w:p>
    <w:p w14:paraId="50611F3D">
      <w:pPr>
        <w:keepNext w:val="0"/>
        <w:keepLines w:val="0"/>
        <w:pageBreakBefore w:val="0"/>
        <w:widowControl/>
        <w:suppressLineNumbers w:val="0"/>
        <w:kinsoku/>
        <w:wordWrap/>
        <w:overflowPunct/>
        <w:topLinePunct w:val="0"/>
        <w:autoSpaceDE/>
        <w:autoSpaceDN/>
        <w:bidi w:val="0"/>
        <w:adjustRightInd/>
        <w:snapToGrid/>
        <w:spacing w:line="579" w:lineRule="exact"/>
        <w:ind w:firstLine="622" w:firstLineChars="200"/>
        <w:jc w:val="left"/>
        <w:textAlignment w:val="auto"/>
        <w:rPr>
          <w:rFonts w:hint="eastAsia" w:ascii="仿宋_GB2312" w:hAnsi="宋体" w:eastAsia="仿宋_GB2312" w:cs="仿宋_GB2312"/>
          <w:color w:val="000000"/>
          <w:kern w:val="0"/>
          <w:sz w:val="31"/>
          <w:szCs w:val="31"/>
          <w:u w:val="none"/>
          <w:lang w:val="en-US" w:eastAsia="zh-CN" w:bidi="ar"/>
        </w:rPr>
      </w:pPr>
      <w:r>
        <w:rPr>
          <w:rFonts w:hint="eastAsia" w:ascii="仿宋_GB2312" w:hAnsi="宋体" w:eastAsia="仿宋_GB2312" w:cs="仿宋_GB2312"/>
          <w:b/>
          <w:bCs/>
          <w:color w:val="000000"/>
          <w:kern w:val="0"/>
          <w:sz w:val="31"/>
          <w:szCs w:val="31"/>
          <w:u w:val="none"/>
          <w:lang w:val="en-US" w:eastAsia="zh-CN" w:bidi="ar"/>
        </w:rPr>
        <w:t>1. 充分发挥职业学校基础性作用</w:t>
      </w:r>
      <w:r>
        <w:rPr>
          <w:rFonts w:hint="eastAsia" w:ascii="仿宋_GB2312" w:hAnsi="宋体" w:eastAsia="仿宋_GB2312" w:cs="仿宋_GB2312"/>
          <w:color w:val="000000"/>
          <w:kern w:val="0"/>
          <w:sz w:val="31"/>
          <w:szCs w:val="31"/>
          <w:u w:val="none"/>
          <w:lang w:val="en-US" w:eastAsia="zh-CN" w:bidi="ar"/>
        </w:rPr>
        <w:t>。持续推进技工教育高质量发展，将技工教育纳入县（区）政府教育发展规划，</w:t>
      </w:r>
      <w:r>
        <w:rPr>
          <w:rFonts w:hint="eastAsia" w:ascii="仿宋_GB2312" w:hAnsi="宋体" w:eastAsia="仿宋_GB2312" w:cs="仿宋_GB2312"/>
          <w:color w:val="000000"/>
          <w:kern w:val="0"/>
          <w:sz w:val="31"/>
          <w:szCs w:val="31"/>
          <w:u w:val="none"/>
          <w:lang w:val="en-US" w:eastAsia="zh-CN" w:bidi="ar"/>
        </w:rPr>
        <w:t>推动安徽理工技师学院、安徽机械技师学院争创高水平技师学院，安徽工业高级技工学校、寿县技工学校、淮南精英技工学校争创优质技工学校，建设一批工学一体化高水平专业（群）。围绕人口变化趋势和紧缺专业，不断优化职业教育类型、院校布局和专业设置，</w:t>
      </w:r>
      <w:r>
        <w:rPr>
          <w:rFonts w:hint="eastAsia" w:ascii="仿宋_GB2312" w:hAnsi="宋体" w:eastAsia="仿宋_GB2312" w:cs="仿宋_GB2312"/>
          <w:color w:val="000000"/>
          <w:kern w:val="0"/>
          <w:sz w:val="31"/>
          <w:szCs w:val="31"/>
          <w:u w:val="none"/>
          <w:lang w:val="en-US" w:eastAsia="zh-CN" w:bidi="ar"/>
        </w:rPr>
        <w:t>支持技工院校跨省、跨市招生，鼓励根据跨省招收培养全日制高级工及以上层次学生规模和毕业后在本地稳定就业情况，给予技工院校适当补助。对招收未就业高校毕业生等重点群体的技工院校，从就业资金中按人均1000元标准给予补助。（牵头单位：市人社局；配合单位：市教体局、市财政局、各县区人民政府等。以下各项任务均需各县区人民政府负责，不再列出）</w:t>
      </w:r>
    </w:p>
    <w:p w14:paraId="0E6DB938">
      <w:pPr>
        <w:keepNext w:val="0"/>
        <w:keepLines w:val="0"/>
        <w:pageBreakBefore w:val="0"/>
        <w:widowControl/>
        <w:suppressLineNumbers w:val="0"/>
        <w:kinsoku/>
        <w:wordWrap/>
        <w:overflowPunct/>
        <w:topLinePunct w:val="0"/>
        <w:autoSpaceDE/>
        <w:autoSpaceDN/>
        <w:bidi w:val="0"/>
        <w:adjustRightInd/>
        <w:snapToGrid/>
        <w:spacing w:line="579" w:lineRule="exact"/>
        <w:ind w:firstLine="622" w:firstLineChars="200"/>
        <w:jc w:val="left"/>
        <w:textAlignment w:val="auto"/>
        <w:rPr>
          <w:rFonts w:hint="eastAsia" w:ascii="仿宋_GB2312" w:hAnsi="宋体" w:eastAsia="仿宋_GB2312" w:cs="仿宋_GB2312"/>
          <w:color w:val="000000"/>
          <w:kern w:val="0"/>
          <w:sz w:val="31"/>
          <w:szCs w:val="31"/>
          <w:u w:val="none"/>
          <w:lang w:val="en-US" w:eastAsia="zh-CN" w:bidi="ar"/>
        </w:rPr>
      </w:pPr>
      <w:r>
        <w:rPr>
          <w:rFonts w:hint="eastAsia" w:ascii="仿宋_GB2312" w:hAnsi="宋体" w:eastAsia="仿宋_GB2312" w:cs="仿宋_GB2312"/>
          <w:b/>
          <w:bCs/>
          <w:color w:val="000000"/>
          <w:kern w:val="0"/>
          <w:sz w:val="31"/>
          <w:szCs w:val="31"/>
          <w:u w:val="none"/>
          <w:lang w:val="en-US" w:eastAsia="zh-CN" w:bidi="ar"/>
        </w:rPr>
        <w:t>2．深度推进产教融合</w:t>
      </w:r>
      <w:r>
        <w:rPr>
          <w:rFonts w:hint="eastAsia" w:ascii="仿宋_GB2312" w:hAnsi="宋体" w:eastAsia="仿宋_GB2312" w:cs="仿宋_GB2312"/>
          <w:color w:val="000000"/>
          <w:kern w:val="0"/>
          <w:sz w:val="31"/>
          <w:szCs w:val="31"/>
          <w:u w:val="none"/>
          <w:lang w:val="en-US" w:eastAsia="zh-CN" w:bidi="ar"/>
        </w:rPr>
        <w:t>。深化产教融合型城市建设，培育产教融合型企业，积极落实“金融+财政+土地+信用”组合式激励和相关税收政策。</w:t>
      </w:r>
      <w:r>
        <w:rPr>
          <w:rFonts w:hint="eastAsia" w:ascii="仿宋_GB2312" w:hAnsi="宋体" w:eastAsia="仿宋_GB2312" w:cs="仿宋_GB2312"/>
          <w:color w:val="000000"/>
          <w:kern w:val="0"/>
          <w:sz w:val="31"/>
          <w:szCs w:val="31"/>
          <w:u w:val="none"/>
          <w:lang w:val="en-US" w:eastAsia="zh-CN" w:bidi="ar"/>
        </w:rPr>
        <w:t>鼓励职业学校和企业合作共建工匠学院，参照淮河能源工匠学院办学方式，鼓励各工匠学院结合产业特色打造优势工种，精准开展技能培训。</w:t>
      </w:r>
      <w:r>
        <w:rPr>
          <w:rFonts w:hint="eastAsia" w:ascii="仿宋_GB2312" w:hAnsi="宋体" w:eastAsia="仿宋_GB2312" w:cs="仿宋_GB2312"/>
          <w:color w:val="000000"/>
          <w:kern w:val="0"/>
          <w:sz w:val="31"/>
          <w:szCs w:val="31"/>
          <w:u w:val="none"/>
          <w:lang w:val="en-US" w:eastAsia="zh-CN" w:bidi="ar"/>
        </w:rPr>
        <w:t>支持职业学校开展校企合作，可按规定统筹使用学校预算收入向企业支付合作费用，兼职教师或企业高技能人才可依规取酬。</w:t>
      </w:r>
      <w:r>
        <w:rPr>
          <w:rFonts w:hint="eastAsia" w:ascii="仿宋_GB2312" w:hAnsi="宋体" w:eastAsia="仿宋_GB2312" w:cs="仿宋_GB2312"/>
          <w:color w:val="000000"/>
          <w:kern w:val="0"/>
          <w:sz w:val="31"/>
          <w:szCs w:val="31"/>
          <w:u w:val="none"/>
          <w:lang w:val="en-US" w:eastAsia="zh-CN" w:bidi="ar"/>
        </w:rPr>
        <w:t>在原有支持政策基础上，打造校企联合人才培养新模式，鼓励我市职业院校为产业龙头企业开设技能人才</w:t>
      </w:r>
      <w:r>
        <w:rPr>
          <w:rFonts w:hint="default" w:ascii="仿宋_GB2312" w:hAnsi="宋体" w:eastAsia="仿宋_GB2312" w:cs="仿宋_GB2312"/>
          <w:color w:val="000000"/>
          <w:kern w:val="0"/>
          <w:sz w:val="31"/>
          <w:szCs w:val="31"/>
          <w:u w:val="none"/>
          <w:lang w:val="en-US" w:eastAsia="zh-CN" w:bidi="ar"/>
        </w:rPr>
        <w:t>“</w:t>
      </w:r>
      <w:r>
        <w:rPr>
          <w:rFonts w:hint="eastAsia" w:ascii="仿宋_GB2312" w:hAnsi="宋体" w:eastAsia="仿宋_GB2312" w:cs="仿宋_GB2312"/>
          <w:color w:val="000000"/>
          <w:kern w:val="0"/>
          <w:sz w:val="31"/>
          <w:szCs w:val="31"/>
          <w:u w:val="none"/>
          <w:lang w:val="en-US" w:eastAsia="zh-CN" w:bidi="ar"/>
        </w:rPr>
        <w:t>定制班</w:t>
      </w:r>
      <w:r>
        <w:rPr>
          <w:rFonts w:hint="default" w:ascii="仿宋_GB2312" w:hAnsi="宋体" w:eastAsia="仿宋_GB2312" w:cs="仿宋_GB2312"/>
          <w:color w:val="000000"/>
          <w:kern w:val="0"/>
          <w:sz w:val="31"/>
          <w:szCs w:val="31"/>
          <w:u w:val="none"/>
          <w:lang w:val="en-US" w:eastAsia="zh-CN" w:bidi="ar"/>
        </w:rPr>
        <w:t>”</w:t>
      </w:r>
      <w:r>
        <w:rPr>
          <w:rFonts w:hint="eastAsia" w:ascii="仿宋_GB2312" w:hAnsi="宋体" w:eastAsia="仿宋_GB2312" w:cs="仿宋_GB2312"/>
          <w:color w:val="000000"/>
          <w:kern w:val="0"/>
          <w:sz w:val="31"/>
          <w:szCs w:val="31"/>
          <w:u w:val="none"/>
          <w:lang w:val="en-US" w:eastAsia="zh-CN" w:bidi="ar"/>
        </w:rPr>
        <w:t>，为技能人才培养提供</w:t>
      </w:r>
      <w:r>
        <w:rPr>
          <w:rFonts w:hint="default" w:ascii="仿宋_GB2312" w:hAnsi="宋体" w:eastAsia="仿宋_GB2312" w:cs="仿宋_GB2312"/>
          <w:color w:val="000000"/>
          <w:kern w:val="0"/>
          <w:sz w:val="31"/>
          <w:szCs w:val="31"/>
          <w:u w:val="none"/>
          <w:lang w:val="en-US" w:eastAsia="zh-CN" w:bidi="ar"/>
        </w:rPr>
        <w:t>“</w:t>
      </w:r>
      <w:r>
        <w:rPr>
          <w:rFonts w:hint="eastAsia" w:ascii="仿宋_GB2312" w:hAnsi="宋体" w:eastAsia="仿宋_GB2312" w:cs="仿宋_GB2312"/>
          <w:color w:val="000000"/>
          <w:kern w:val="0"/>
          <w:sz w:val="31"/>
          <w:szCs w:val="31"/>
          <w:u w:val="none"/>
          <w:lang w:val="en-US" w:eastAsia="zh-CN" w:bidi="ar"/>
        </w:rPr>
        <w:t>个性化</w:t>
      </w:r>
      <w:r>
        <w:rPr>
          <w:rFonts w:hint="default" w:ascii="仿宋_GB2312" w:hAnsi="宋体" w:eastAsia="仿宋_GB2312" w:cs="仿宋_GB2312"/>
          <w:color w:val="000000"/>
          <w:kern w:val="0"/>
          <w:sz w:val="31"/>
          <w:szCs w:val="31"/>
          <w:u w:val="none"/>
          <w:lang w:val="en-US" w:eastAsia="zh-CN" w:bidi="ar"/>
        </w:rPr>
        <w:t>”</w:t>
      </w:r>
      <w:r>
        <w:rPr>
          <w:rFonts w:hint="eastAsia" w:ascii="仿宋_GB2312" w:hAnsi="宋体" w:eastAsia="仿宋_GB2312" w:cs="仿宋_GB2312"/>
          <w:color w:val="000000"/>
          <w:kern w:val="0"/>
          <w:sz w:val="31"/>
          <w:szCs w:val="31"/>
          <w:u w:val="none"/>
          <w:lang w:val="en-US" w:eastAsia="zh-CN" w:bidi="ar"/>
        </w:rPr>
        <w:t>、</w:t>
      </w:r>
      <w:r>
        <w:rPr>
          <w:rFonts w:hint="default" w:ascii="仿宋_GB2312" w:hAnsi="宋体" w:eastAsia="仿宋_GB2312" w:cs="仿宋_GB2312"/>
          <w:color w:val="000000"/>
          <w:kern w:val="0"/>
          <w:sz w:val="31"/>
          <w:szCs w:val="31"/>
          <w:u w:val="none"/>
          <w:lang w:val="en-US" w:eastAsia="zh-CN" w:bidi="ar"/>
        </w:rPr>
        <w:t>“</w:t>
      </w:r>
      <w:r>
        <w:rPr>
          <w:rFonts w:hint="eastAsia" w:ascii="仿宋_GB2312" w:hAnsi="宋体" w:eastAsia="仿宋_GB2312" w:cs="仿宋_GB2312"/>
          <w:color w:val="000000"/>
          <w:kern w:val="0"/>
          <w:sz w:val="31"/>
          <w:szCs w:val="31"/>
          <w:u w:val="none"/>
          <w:lang w:val="en-US" w:eastAsia="zh-CN" w:bidi="ar"/>
        </w:rPr>
        <w:t>订单式</w:t>
      </w:r>
      <w:r>
        <w:rPr>
          <w:rFonts w:hint="default" w:ascii="仿宋_GB2312" w:hAnsi="宋体" w:eastAsia="仿宋_GB2312" w:cs="仿宋_GB2312"/>
          <w:color w:val="000000"/>
          <w:kern w:val="0"/>
          <w:sz w:val="31"/>
          <w:szCs w:val="31"/>
          <w:u w:val="none"/>
          <w:lang w:val="en-US" w:eastAsia="zh-CN" w:bidi="ar"/>
        </w:rPr>
        <w:t>”</w:t>
      </w:r>
      <w:r>
        <w:rPr>
          <w:rFonts w:hint="eastAsia" w:ascii="仿宋_GB2312" w:hAnsi="宋体" w:eastAsia="仿宋_GB2312" w:cs="仿宋_GB2312"/>
          <w:color w:val="000000"/>
          <w:kern w:val="0"/>
          <w:sz w:val="31"/>
          <w:szCs w:val="31"/>
          <w:u w:val="none"/>
          <w:lang w:val="en-US" w:eastAsia="zh-CN" w:bidi="ar"/>
        </w:rPr>
        <w:t xml:space="preserve">服务。对毕业生留淮率达到 </w:t>
      </w:r>
      <w:r>
        <w:rPr>
          <w:rFonts w:hint="default" w:ascii="仿宋_GB2312" w:hAnsi="宋体" w:eastAsia="仿宋_GB2312" w:cs="仿宋_GB2312"/>
          <w:color w:val="000000"/>
          <w:kern w:val="0"/>
          <w:sz w:val="31"/>
          <w:szCs w:val="31"/>
          <w:u w:val="none"/>
          <w:lang w:val="en-US" w:eastAsia="zh-CN" w:bidi="ar"/>
        </w:rPr>
        <w:t>80%</w:t>
      </w:r>
      <w:r>
        <w:rPr>
          <w:rFonts w:hint="eastAsia" w:ascii="仿宋_GB2312" w:hAnsi="宋体" w:eastAsia="仿宋_GB2312" w:cs="仿宋_GB2312"/>
          <w:color w:val="000000"/>
          <w:kern w:val="0"/>
          <w:sz w:val="31"/>
          <w:szCs w:val="31"/>
          <w:u w:val="none"/>
          <w:lang w:val="en-US" w:eastAsia="zh-CN" w:bidi="ar"/>
        </w:rPr>
        <w:t>及以上的</w:t>
      </w:r>
      <w:r>
        <w:rPr>
          <w:rFonts w:hint="default" w:ascii="仿宋_GB2312" w:hAnsi="宋体" w:eastAsia="仿宋_GB2312" w:cs="仿宋_GB2312"/>
          <w:color w:val="000000"/>
          <w:kern w:val="0"/>
          <w:sz w:val="31"/>
          <w:szCs w:val="31"/>
          <w:u w:val="none"/>
          <w:lang w:val="en-US" w:eastAsia="zh-CN" w:bidi="ar"/>
        </w:rPr>
        <w:t>“</w:t>
      </w:r>
      <w:r>
        <w:rPr>
          <w:rFonts w:hint="eastAsia" w:ascii="仿宋_GB2312" w:hAnsi="宋体" w:eastAsia="仿宋_GB2312" w:cs="仿宋_GB2312"/>
          <w:color w:val="000000"/>
          <w:kern w:val="0"/>
          <w:sz w:val="31"/>
          <w:szCs w:val="31"/>
          <w:u w:val="none"/>
          <w:lang w:val="en-US" w:eastAsia="zh-CN" w:bidi="ar"/>
        </w:rPr>
        <w:t>定制班</w:t>
      </w:r>
      <w:r>
        <w:rPr>
          <w:rFonts w:hint="default" w:ascii="仿宋_GB2312" w:hAnsi="宋体" w:eastAsia="仿宋_GB2312" w:cs="仿宋_GB2312"/>
          <w:color w:val="000000"/>
          <w:kern w:val="0"/>
          <w:sz w:val="31"/>
          <w:szCs w:val="31"/>
          <w:u w:val="none"/>
          <w:lang w:val="en-US" w:eastAsia="zh-CN" w:bidi="ar"/>
        </w:rPr>
        <w:t>”</w:t>
      </w:r>
      <w:r>
        <w:rPr>
          <w:rFonts w:hint="eastAsia" w:ascii="仿宋_GB2312" w:hAnsi="宋体" w:eastAsia="仿宋_GB2312" w:cs="仿宋_GB2312"/>
          <w:color w:val="000000"/>
          <w:kern w:val="0"/>
          <w:sz w:val="31"/>
          <w:szCs w:val="31"/>
          <w:u w:val="none"/>
          <w:lang w:val="en-US" w:eastAsia="zh-CN" w:bidi="ar"/>
        </w:rPr>
        <w:t xml:space="preserve">，按照 </w:t>
      </w:r>
      <w:r>
        <w:rPr>
          <w:rFonts w:hint="default" w:ascii="仿宋_GB2312" w:hAnsi="宋体" w:eastAsia="仿宋_GB2312" w:cs="仿宋_GB2312"/>
          <w:color w:val="000000"/>
          <w:kern w:val="0"/>
          <w:sz w:val="31"/>
          <w:szCs w:val="31"/>
          <w:u w:val="none"/>
          <w:lang w:val="en-US" w:eastAsia="zh-CN" w:bidi="ar"/>
        </w:rPr>
        <w:t xml:space="preserve">1000 </w:t>
      </w:r>
      <w:r>
        <w:rPr>
          <w:rFonts w:hint="eastAsia" w:ascii="仿宋_GB2312" w:hAnsi="宋体" w:eastAsia="仿宋_GB2312" w:cs="仿宋_GB2312"/>
          <w:color w:val="000000"/>
          <w:kern w:val="0"/>
          <w:sz w:val="31"/>
          <w:szCs w:val="31"/>
          <w:u w:val="none"/>
          <w:lang w:val="en-US" w:eastAsia="zh-CN" w:bidi="ar"/>
        </w:rPr>
        <w:t>元</w:t>
      </w:r>
      <w:r>
        <w:rPr>
          <w:rFonts w:hint="default" w:ascii="仿宋_GB2312" w:hAnsi="宋体" w:eastAsia="仿宋_GB2312" w:cs="仿宋_GB2312"/>
          <w:color w:val="000000"/>
          <w:kern w:val="0"/>
          <w:sz w:val="31"/>
          <w:szCs w:val="31"/>
          <w:u w:val="none"/>
          <w:lang w:val="en-US" w:eastAsia="zh-CN" w:bidi="ar"/>
        </w:rPr>
        <w:t>/</w:t>
      </w:r>
      <w:r>
        <w:rPr>
          <w:rFonts w:hint="eastAsia" w:ascii="仿宋_GB2312" w:hAnsi="宋体" w:eastAsia="仿宋_GB2312" w:cs="仿宋_GB2312"/>
          <w:color w:val="000000"/>
          <w:kern w:val="0"/>
          <w:sz w:val="31"/>
          <w:szCs w:val="31"/>
          <w:u w:val="none"/>
          <w:lang w:val="en-US" w:eastAsia="zh-CN" w:bidi="ar"/>
        </w:rPr>
        <w:t>人标准给予企业人才培养奖补，奖补资金由市人才工作专项资金支出。结合实际开展高技能人才研修班，按照6万元/班标准予以补贴。</w:t>
      </w:r>
      <w:r>
        <w:rPr>
          <w:rFonts w:hint="eastAsia" w:ascii="仿宋_GB2312" w:hAnsi="宋体" w:eastAsia="仿宋_GB2312" w:cs="仿宋_GB2312"/>
          <w:color w:val="000000"/>
          <w:kern w:val="0"/>
          <w:sz w:val="31"/>
          <w:szCs w:val="31"/>
          <w:u w:val="none"/>
          <w:lang w:val="en-US" w:eastAsia="zh-CN" w:bidi="ar"/>
        </w:rPr>
        <w:t>（牵头单位：市教体局、市人社局；配合单位：市委人才工作局、市发改委、市财政局、市总工会等）</w:t>
      </w:r>
    </w:p>
    <w:p w14:paraId="0D7A1B2D">
      <w:pPr>
        <w:keepNext w:val="0"/>
        <w:keepLines w:val="0"/>
        <w:pageBreakBefore w:val="0"/>
        <w:widowControl/>
        <w:suppressLineNumbers w:val="0"/>
        <w:kinsoku/>
        <w:wordWrap/>
        <w:overflowPunct/>
        <w:topLinePunct w:val="0"/>
        <w:autoSpaceDE/>
        <w:autoSpaceDN/>
        <w:bidi w:val="0"/>
        <w:adjustRightInd/>
        <w:snapToGrid/>
        <w:spacing w:line="579" w:lineRule="exact"/>
        <w:ind w:firstLine="622" w:firstLineChars="200"/>
        <w:jc w:val="left"/>
        <w:textAlignment w:val="auto"/>
        <w:rPr>
          <w:rFonts w:hint="eastAsia" w:ascii="仿宋_GB2312" w:hAnsi="宋体" w:eastAsia="仿宋_GB2312" w:cs="仿宋_GB2312"/>
          <w:color w:val="000000"/>
          <w:kern w:val="0"/>
          <w:sz w:val="31"/>
          <w:szCs w:val="31"/>
          <w:u w:val="none"/>
          <w:lang w:val="en-US" w:eastAsia="zh-CN" w:bidi="ar"/>
        </w:rPr>
      </w:pPr>
      <w:r>
        <w:rPr>
          <w:rFonts w:hint="eastAsia" w:ascii="仿宋_GB2312" w:hAnsi="宋体" w:eastAsia="仿宋_GB2312" w:cs="仿宋_GB2312"/>
          <w:b/>
          <w:bCs/>
          <w:color w:val="000000"/>
          <w:kern w:val="0"/>
          <w:sz w:val="31"/>
          <w:szCs w:val="31"/>
          <w:u w:val="none"/>
          <w:lang w:val="en-US" w:eastAsia="zh-CN" w:bidi="ar"/>
        </w:rPr>
        <w:t>3.推动院校开展技能培训评价</w:t>
      </w:r>
      <w:r>
        <w:rPr>
          <w:rFonts w:hint="eastAsia" w:ascii="仿宋_GB2312" w:hAnsi="宋体" w:eastAsia="仿宋_GB2312" w:cs="仿宋_GB2312"/>
          <w:color w:val="000000"/>
          <w:kern w:val="0"/>
          <w:sz w:val="31"/>
          <w:szCs w:val="31"/>
          <w:u w:val="none"/>
          <w:lang w:val="en-US" w:eastAsia="zh-CN" w:bidi="ar"/>
        </w:rPr>
        <w:t>。</w:t>
      </w:r>
      <w:r>
        <w:rPr>
          <w:rFonts w:hint="eastAsia" w:ascii="仿宋_GB2312" w:hAnsi="宋体" w:eastAsia="仿宋_GB2312" w:cs="仿宋_GB2312"/>
          <w:color w:val="000000"/>
          <w:kern w:val="0"/>
          <w:sz w:val="31"/>
          <w:szCs w:val="31"/>
          <w:u w:val="none"/>
          <w:lang w:val="en-US" w:eastAsia="zh-CN" w:bidi="ar"/>
        </w:rPr>
        <w:t>鼓励各类职业学校结合办学优势，主动承担政府补贴性培训，</w:t>
      </w:r>
      <w:r>
        <w:rPr>
          <w:rFonts w:hint="eastAsia" w:ascii="仿宋_GB2312" w:hAnsi="宋体" w:eastAsia="仿宋_GB2312" w:cs="仿宋_GB2312"/>
          <w:color w:val="000000"/>
          <w:kern w:val="0"/>
          <w:sz w:val="31"/>
          <w:szCs w:val="31"/>
          <w:u w:val="none"/>
          <w:lang w:val="en-US" w:eastAsia="zh-CN" w:bidi="ar"/>
        </w:rPr>
        <w:t>对承担培训任务较重、年培训量超过学制教育在校生人数、培训收入稳定的公办职业学校，绩效工资总量可以突破当地公务员津贴补贴平均水平2倍封顶限制，核增部分不作为下一年度绩效工资总量的基数。鼓励公办职业学校开展社会化职业技能培训评价服务，培训评价收费按照服务性收费管理纳入部门预算，所取得的收入可按一定比例作为办学经费自主安排使用，也可按一定比例作为绩效工资来源，用于支付本校教师或其他培训教师的劳动报酬</w:t>
      </w:r>
      <w:r>
        <w:rPr>
          <w:rFonts w:hint="eastAsia" w:ascii="仿宋_GB2312" w:hAnsi="宋体" w:eastAsia="仿宋_GB2312" w:cs="仿宋_GB2312"/>
          <w:color w:val="000000"/>
          <w:kern w:val="0"/>
          <w:sz w:val="31"/>
          <w:szCs w:val="31"/>
          <w:u w:val="none"/>
          <w:lang w:val="en-US" w:eastAsia="zh-CN" w:bidi="ar"/>
        </w:rPr>
        <w:t>。按照全省统一部署，积极培育3-5个产教评技能培训生态链，鼓励龙头企业申报链主企业，推动产业、教学、评价衔接融通。</w:t>
      </w:r>
      <w:r>
        <w:rPr>
          <w:rFonts w:hint="eastAsia" w:ascii="仿宋_GB2312" w:hAnsi="宋体" w:eastAsia="仿宋_GB2312" w:cs="仿宋_GB2312"/>
          <w:color w:val="000000"/>
          <w:kern w:val="0"/>
          <w:sz w:val="31"/>
          <w:szCs w:val="31"/>
          <w:u w:val="none"/>
          <w:lang w:val="en-US" w:eastAsia="zh-CN" w:bidi="ar"/>
        </w:rPr>
        <w:t>支持职业学校、符合条件的高等学校面向在校生全面开展职业技能等级评价，制定毕业生技能等级认定工作方案，对通过初次职业技能评价并取得符合规定证书的毕业年度高校毕业生，给予职业技能评价补贴。（牵头单位：市教体局、市人社局；配合单位：市财政局等）</w:t>
      </w:r>
    </w:p>
    <w:p w14:paraId="42AD5C4E">
      <w:pPr>
        <w:keepNext w:val="0"/>
        <w:keepLines w:val="0"/>
        <w:pageBreakBefore w:val="0"/>
        <w:widowControl/>
        <w:suppressLineNumbers w:val="0"/>
        <w:kinsoku/>
        <w:wordWrap/>
        <w:overflowPunct/>
        <w:topLinePunct w:val="0"/>
        <w:autoSpaceDE/>
        <w:autoSpaceDN/>
        <w:bidi w:val="0"/>
        <w:adjustRightInd/>
        <w:snapToGrid/>
        <w:spacing w:line="579" w:lineRule="exact"/>
        <w:ind w:firstLine="622" w:firstLineChars="200"/>
        <w:jc w:val="left"/>
        <w:textAlignment w:val="auto"/>
        <w:rPr>
          <w:rFonts w:hint="eastAsia" w:ascii="仿宋_GB2312" w:hAnsi="宋体" w:eastAsia="仿宋_GB2312" w:cs="仿宋_GB2312"/>
          <w:color w:val="000000"/>
          <w:kern w:val="0"/>
          <w:sz w:val="31"/>
          <w:szCs w:val="31"/>
          <w:u w:val="none"/>
          <w:lang w:val="en-US" w:eastAsia="zh-CN" w:bidi="ar"/>
        </w:rPr>
      </w:pPr>
      <w:r>
        <w:rPr>
          <w:rFonts w:hint="eastAsia" w:ascii="仿宋_GB2312" w:hAnsi="宋体" w:eastAsia="仿宋_GB2312" w:cs="仿宋_GB2312"/>
          <w:b/>
          <w:bCs/>
          <w:color w:val="000000"/>
          <w:kern w:val="0"/>
          <w:sz w:val="31"/>
          <w:szCs w:val="31"/>
          <w:u w:val="none"/>
          <w:lang w:val="en-US" w:eastAsia="zh-CN" w:bidi="ar"/>
        </w:rPr>
        <w:t xml:space="preserve">4. </w:t>
      </w:r>
      <w:r>
        <w:rPr>
          <w:rFonts w:hint="eastAsia" w:ascii="仿宋_GB2312" w:hAnsi="宋体" w:eastAsia="仿宋_GB2312" w:cs="仿宋_GB2312"/>
          <w:b/>
          <w:bCs/>
          <w:color w:val="000000"/>
          <w:kern w:val="0"/>
          <w:sz w:val="31"/>
          <w:szCs w:val="31"/>
          <w:u w:val="none"/>
          <w:lang w:val="en-US" w:eastAsia="zh-CN" w:bidi="ar"/>
        </w:rPr>
        <w:t>推行“技能+学历”贯通培养模式</w:t>
      </w:r>
      <w:r>
        <w:rPr>
          <w:rFonts w:hint="eastAsia" w:ascii="仿宋_GB2312" w:hAnsi="宋体" w:eastAsia="仿宋_GB2312" w:cs="仿宋_GB2312"/>
          <w:color w:val="000000"/>
          <w:kern w:val="0"/>
          <w:sz w:val="31"/>
          <w:szCs w:val="31"/>
          <w:u w:val="none"/>
          <w:lang w:val="en-US" w:eastAsia="zh-CN" w:bidi="ar"/>
        </w:rPr>
        <w:t>。</w:t>
      </w:r>
      <w:r>
        <w:rPr>
          <w:rFonts w:hint="eastAsia" w:ascii="仿宋_GB2312" w:hAnsi="宋体" w:eastAsia="仿宋_GB2312" w:cs="仿宋_GB2312"/>
          <w:color w:val="000000"/>
          <w:kern w:val="0"/>
          <w:sz w:val="31"/>
          <w:szCs w:val="31"/>
          <w:u w:val="none"/>
          <w:lang w:val="en-US" w:eastAsia="zh-CN" w:bidi="ar"/>
        </w:rPr>
        <w:t>面向高中学段毕业生定岗定向开展高级工以上层次培养，积极争取技师学院与本科院校合作推进“本科+技师+工程师”联合试点培养。</w:t>
      </w:r>
      <w:r>
        <w:rPr>
          <w:rFonts w:hint="eastAsia" w:ascii="仿宋_GB2312" w:hAnsi="宋体" w:eastAsia="仿宋_GB2312" w:cs="仿宋_GB2312"/>
          <w:color w:val="000000"/>
          <w:kern w:val="0"/>
          <w:sz w:val="31"/>
          <w:szCs w:val="31"/>
          <w:u w:val="none"/>
          <w:lang w:val="en-US" w:eastAsia="zh-CN" w:bidi="ar"/>
        </w:rPr>
        <w:t>开放教育专科与技工教育融合发展路径，继续推动技工院校与国家开放大学持续合作，构建“技能+学历”复合型技能人才培养模式，努力实现“技能+学历”的融合。</w:t>
      </w:r>
      <w:r>
        <w:rPr>
          <w:rFonts w:hint="eastAsia" w:ascii="仿宋_GB2312" w:hAnsi="宋体" w:eastAsia="仿宋_GB2312" w:cs="仿宋_GB2312"/>
          <w:color w:val="000000"/>
          <w:kern w:val="0"/>
          <w:sz w:val="31"/>
          <w:szCs w:val="31"/>
          <w:u w:val="none"/>
          <w:lang w:val="en-US" w:eastAsia="zh-CN" w:bidi="ar"/>
        </w:rPr>
        <w:t>（牵头单位：市人社局；配合单位：市教体局等）</w:t>
      </w:r>
    </w:p>
    <w:p w14:paraId="5F0D9250">
      <w:pPr>
        <w:keepNext w:val="0"/>
        <w:keepLines w:val="0"/>
        <w:pageBreakBefore w:val="0"/>
        <w:widowControl/>
        <w:suppressLineNumbers w:val="0"/>
        <w:kinsoku/>
        <w:wordWrap/>
        <w:overflowPunct/>
        <w:topLinePunct w:val="0"/>
        <w:autoSpaceDE/>
        <w:autoSpaceDN/>
        <w:bidi w:val="0"/>
        <w:adjustRightInd/>
        <w:snapToGrid/>
        <w:spacing w:line="579" w:lineRule="exact"/>
        <w:ind w:firstLine="622" w:firstLineChars="200"/>
        <w:jc w:val="left"/>
        <w:textAlignment w:val="auto"/>
        <w:rPr>
          <w:rFonts w:hint="eastAsia" w:ascii="楷体_GB2312" w:hAnsi="楷体_GB2312" w:eastAsia="楷体_GB2312" w:cs="楷体_GB2312"/>
          <w:b/>
          <w:bCs/>
          <w:color w:val="000000"/>
          <w:kern w:val="0"/>
          <w:sz w:val="31"/>
          <w:szCs w:val="31"/>
          <w:u w:val="none"/>
          <w:lang w:val="en-US" w:eastAsia="zh-CN" w:bidi="ar"/>
        </w:rPr>
      </w:pPr>
      <w:r>
        <w:rPr>
          <w:rFonts w:hint="eastAsia" w:ascii="楷体_GB2312" w:hAnsi="楷体_GB2312" w:eastAsia="楷体_GB2312" w:cs="楷体_GB2312"/>
          <w:b/>
          <w:bCs/>
          <w:color w:val="000000"/>
          <w:kern w:val="0"/>
          <w:sz w:val="31"/>
          <w:szCs w:val="31"/>
          <w:u w:val="none"/>
          <w:lang w:val="en-US" w:eastAsia="zh-CN" w:bidi="ar"/>
        </w:rPr>
        <w:t>（二）技能人才培养工作提质行动。</w:t>
      </w:r>
    </w:p>
    <w:p w14:paraId="0ACC874F">
      <w:pPr>
        <w:keepNext w:val="0"/>
        <w:keepLines w:val="0"/>
        <w:pageBreakBefore w:val="0"/>
        <w:widowControl/>
        <w:suppressLineNumbers w:val="0"/>
        <w:kinsoku/>
        <w:wordWrap/>
        <w:overflowPunct/>
        <w:topLinePunct w:val="0"/>
        <w:autoSpaceDE/>
        <w:autoSpaceDN/>
        <w:bidi w:val="0"/>
        <w:adjustRightInd/>
        <w:snapToGrid/>
        <w:spacing w:line="579" w:lineRule="exact"/>
        <w:ind w:firstLine="622" w:firstLineChars="200"/>
        <w:jc w:val="left"/>
        <w:textAlignment w:val="auto"/>
        <w:rPr>
          <w:rFonts w:hint="eastAsia" w:ascii="仿宋_GB2312" w:hAnsi="宋体" w:eastAsia="仿宋_GB2312" w:cs="仿宋_GB2312"/>
          <w:color w:val="000000"/>
          <w:kern w:val="0"/>
          <w:sz w:val="31"/>
          <w:szCs w:val="31"/>
          <w:u w:val="none"/>
          <w:lang w:val="en-US" w:eastAsia="zh-CN" w:bidi="ar"/>
        </w:rPr>
      </w:pPr>
      <w:r>
        <w:rPr>
          <w:rFonts w:hint="eastAsia" w:ascii="仿宋_GB2312" w:hAnsi="宋体" w:eastAsia="仿宋_GB2312" w:cs="仿宋_GB2312"/>
          <w:b/>
          <w:bCs/>
          <w:color w:val="000000"/>
          <w:kern w:val="0"/>
          <w:sz w:val="31"/>
          <w:szCs w:val="31"/>
          <w:u w:val="none"/>
          <w:lang w:val="en-US" w:eastAsia="zh-CN" w:bidi="ar"/>
        </w:rPr>
        <w:t>5.实施“技能照亮前程”培训行动</w:t>
      </w:r>
      <w:r>
        <w:rPr>
          <w:rFonts w:hint="eastAsia" w:ascii="仿宋_GB2312" w:hAnsi="宋体" w:eastAsia="仿宋_GB2312" w:cs="仿宋_GB2312"/>
          <w:color w:val="000000"/>
          <w:kern w:val="0"/>
          <w:sz w:val="31"/>
          <w:szCs w:val="31"/>
          <w:u w:val="none"/>
          <w:lang w:val="en-US" w:eastAsia="zh-CN" w:bidi="ar"/>
        </w:rPr>
        <w:t>。开展“兜底性”重点群体就业技能培训，面向年满16周岁、不超过65周岁未就业或灵活就业且不具有按月领取职工养老保险待遇的毕业年度高校毕业生、城乡未继续升学的应届初高中毕业生、农村转移就业劳动者、城镇登记失业人员、就业困难人员等，推行“岗位需求+技能培训+就业推荐+等级评价”项目化培训模式，建立就业技能培训差异化补贴机制，培训合格并取得符合规定证书后按补贴标准的90%兑现，培训后3个月内实现稳定就业的补足余额。支持县（区）围绕本地主导产业开展项目制培训，打造“一县（区）一培训”品牌。（牵头单位：市人社局）</w:t>
      </w:r>
    </w:p>
    <w:p w14:paraId="6403D61A">
      <w:pPr>
        <w:keepNext w:val="0"/>
        <w:keepLines w:val="0"/>
        <w:pageBreakBefore w:val="0"/>
        <w:widowControl/>
        <w:suppressLineNumbers w:val="0"/>
        <w:kinsoku/>
        <w:wordWrap/>
        <w:overflowPunct/>
        <w:topLinePunct w:val="0"/>
        <w:autoSpaceDE/>
        <w:autoSpaceDN/>
        <w:bidi w:val="0"/>
        <w:adjustRightInd/>
        <w:snapToGrid/>
        <w:spacing w:line="579" w:lineRule="exact"/>
        <w:ind w:firstLine="622" w:firstLineChars="200"/>
        <w:jc w:val="left"/>
        <w:textAlignment w:val="auto"/>
        <w:rPr>
          <w:rFonts w:hint="eastAsia" w:ascii="仿宋_GB2312" w:hAnsi="宋体" w:eastAsia="仿宋_GB2312" w:cs="仿宋_GB2312"/>
          <w:color w:val="000000"/>
          <w:kern w:val="0"/>
          <w:sz w:val="31"/>
          <w:szCs w:val="31"/>
          <w:u w:val="none"/>
          <w:lang w:val="en-US" w:eastAsia="zh-CN" w:bidi="ar"/>
        </w:rPr>
      </w:pPr>
      <w:r>
        <w:rPr>
          <w:rFonts w:hint="eastAsia" w:ascii="仿宋_GB2312" w:hAnsi="宋体" w:eastAsia="仿宋_GB2312" w:cs="仿宋_GB2312"/>
          <w:b/>
          <w:bCs/>
          <w:color w:val="000000"/>
          <w:kern w:val="0"/>
          <w:sz w:val="31"/>
          <w:szCs w:val="31"/>
          <w:u w:val="none"/>
          <w:lang w:val="en-US" w:eastAsia="zh-CN" w:bidi="ar"/>
        </w:rPr>
        <w:t>6.</w:t>
      </w:r>
      <w:r>
        <w:rPr>
          <w:rFonts w:hint="eastAsia" w:ascii="仿宋_GB2312" w:hAnsi="宋体" w:eastAsia="仿宋_GB2312" w:cs="仿宋_GB2312"/>
          <w:b/>
          <w:bCs/>
          <w:color w:val="000000"/>
          <w:kern w:val="0"/>
          <w:sz w:val="31"/>
          <w:szCs w:val="31"/>
          <w:u w:val="none"/>
          <w:lang w:val="en-US" w:eastAsia="zh-CN" w:bidi="ar"/>
        </w:rPr>
        <w:t>制造业技能培训筑基行动</w:t>
      </w:r>
      <w:r>
        <w:rPr>
          <w:rFonts w:hint="eastAsia" w:ascii="仿宋_GB2312" w:hAnsi="宋体" w:eastAsia="仿宋_GB2312" w:cs="仿宋_GB2312"/>
          <w:color w:val="000000"/>
          <w:kern w:val="0"/>
          <w:sz w:val="31"/>
          <w:szCs w:val="31"/>
          <w:u w:val="none"/>
          <w:lang w:val="en-US" w:eastAsia="zh-CN" w:bidi="ar"/>
        </w:rPr>
        <w:t>。鼓励制造业企业开展岗前、岗位技能培训，按规定给予培训补贴。支持制造业企业依托职业院校、培训中心建立产业(工匠)学院、高技能人才培训竞赛基地等</w:t>
      </w:r>
      <w:r>
        <w:rPr>
          <w:rFonts w:hint="eastAsia" w:ascii="仿宋_GB2312" w:hAnsi="宋体" w:eastAsia="仿宋_GB2312" w:cs="仿宋_GB2312"/>
          <w:color w:val="000000"/>
          <w:kern w:val="0"/>
          <w:sz w:val="31"/>
          <w:szCs w:val="31"/>
          <w:u w:val="none"/>
          <w:lang w:val="en-US" w:eastAsia="zh-CN" w:bidi="ar"/>
        </w:rPr>
        <w:t>。实施企业职工技师研修提升计划，对评价后取证的，按照技师3500元/人、高级技师5000元/人、特级技师6500元/人、首席技师8000元/人标准，给予个人技能提升补贴。(牵头单位:市人社局、市工信局、市财政局、市总工会)</w:t>
      </w:r>
    </w:p>
    <w:p w14:paraId="0A2B7F41">
      <w:pPr>
        <w:keepNext w:val="0"/>
        <w:keepLines w:val="0"/>
        <w:pageBreakBefore w:val="0"/>
        <w:widowControl/>
        <w:suppressLineNumbers w:val="0"/>
        <w:kinsoku/>
        <w:wordWrap/>
        <w:overflowPunct/>
        <w:topLinePunct w:val="0"/>
        <w:autoSpaceDE/>
        <w:autoSpaceDN/>
        <w:bidi w:val="0"/>
        <w:adjustRightInd/>
        <w:snapToGrid/>
        <w:spacing w:line="579" w:lineRule="exact"/>
        <w:ind w:firstLine="622" w:firstLineChars="200"/>
        <w:jc w:val="left"/>
        <w:textAlignment w:val="auto"/>
        <w:rPr>
          <w:rFonts w:hint="default" w:ascii="仿宋_GB2312" w:hAnsi="宋体" w:eastAsia="仿宋_GB2312" w:cs="仿宋_GB2312"/>
          <w:color w:val="000000"/>
          <w:kern w:val="0"/>
          <w:sz w:val="31"/>
          <w:szCs w:val="31"/>
          <w:u w:val="none"/>
          <w:lang w:val="en-US" w:eastAsia="zh-CN" w:bidi="ar"/>
        </w:rPr>
      </w:pPr>
      <w:r>
        <w:rPr>
          <w:rFonts w:hint="eastAsia" w:ascii="仿宋_GB2312" w:hAnsi="宋体" w:eastAsia="仿宋_GB2312" w:cs="仿宋_GB2312"/>
          <w:b/>
          <w:bCs/>
          <w:color w:val="000000"/>
          <w:kern w:val="0"/>
          <w:sz w:val="31"/>
          <w:szCs w:val="31"/>
          <w:u w:val="none"/>
          <w:lang w:val="en-US" w:eastAsia="zh-CN" w:bidi="ar"/>
        </w:rPr>
        <w:t>7.</w:t>
      </w:r>
      <w:r>
        <w:rPr>
          <w:rFonts w:hint="default" w:ascii="仿宋_GB2312" w:hAnsi="宋体" w:eastAsia="仿宋_GB2312" w:cs="仿宋_GB2312"/>
          <w:b/>
          <w:bCs/>
          <w:color w:val="000000"/>
          <w:kern w:val="0"/>
          <w:sz w:val="31"/>
          <w:szCs w:val="31"/>
          <w:u w:val="none"/>
          <w:lang w:val="en-US" w:eastAsia="zh-CN" w:bidi="ar"/>
        </w:rPr>
        <w:t>数字工匠倍增行动</w:t>
      </w:r>
      <w:r>
        <w:rPr>
          <w:rFonts w:hint="default" w:ascii="仿宋_GB2312" w:hAnsi="宋体" w:eastAsia="仿宋_GB2312" w:cs="仿宋_GB2312"/>
          <w:color w:val="000000"/>
          <w:kern w:val="0"/>
          <w:sz w:val="31"/>
          <w:szCs w:val="31"/>
          <w:u w:val="none"/>
          <w:lang w:val="en-US" w:eastAsia="zh-CN" w:bidi="ar"/>
        </w:rPr>
        <w:t>。鼓励社会力量参与开发数字职业(工种)职业培训包、教材资源等，加大数字培训资源开放共享力度。将人工智能、大数据等数字技术技能领域相关职业(工种)纳入职业技能培训补贴范围。推动校企合作创建数字工程师、数字工匠培养平台，贯通数字领域技术技能评价，面向高校毕业生等群体培养一批数字人才</w:t>
      </w:r>
      <w:r>
        <w:rPr>
          <w:rFonts w:hint="default" w:ascii="仿宋_GB2312" w:hAnsi="宋体" w:eastAsia="仿宋_GB2312" w:cs="仿宋_GB2312"/>
          <w:color w:val="000000"/>
          <w:kern w:val="0"/>
          <w:sz w:val="31"/>
          <w:szCs w:val="31"/>
          <w:u w:val="none"/>
          <w:lang w:val="en-US" w:eastAsia="zh-CN" w:bidi="ar"/>
        </w:rPr>
        <w:t>。(牵头单位:</w:t>
      </w:r>
      <w:r>
        <w:rPr>
          <w:rFonts w:hint="eastAsia" w:ascii="仿宋_GB2312" w:hAnsi="宋体" w:eastAsia="仿宋_GB2312" w:cs="仿宋_GB2312"/>
          <w:color w:val="000000"/>
          <w:kern w:val="0"/>
          <w:sz w:val="31"/>
          <w:szCs w:val="31"/>
          <w:u w:val="none"/>
          <w:lang w:val="en-US" w:eastAsia="zh-CN" w:bidi="ar"/>
        </w:rPr>
        <w:t>市人社局、市数据局</w:t>
      </w:r>
      <w:r>
        <w:rPr>
          <w:rFonts w:hint="default" w:ascii="仿宋_GB2312" w:hAnsi="宋体" w:eastAsia="仿宋_GB2312" w:cs="仿宋_GB2312"/>
          <w:color w:val="000000"/>
          <w:kern w:val="0"/>
          <w:sz w:val="31"/>
          <w:szCs w:val="31"/>
          <w:u w:val="none"/>
          <w:lang w:val="en-US" w:eastAsia="zh-CN" w:bidi="ar"/>
        </w:rPr>
        <w:t>、</w:t>
      </w:r>
      <w:r>
        <w:rPr>
          <w:rFonts w:hint="eastAsia" w:ascii="仿宋_GB2312" w:hAnsi="宋体" w:eastAsia="仿宋_GB2312" w:cs="仿宋_GB2312"/>
          <w:color w:val="000000"/>
          <w:kern w:val="0"/>
          <w:sz w:val="31"/>
          <w:szCs w:val="31"/>
          <w:u w:val="none"/>
          <w:lang w:val="en-US" w:eastAsia="zh-CN" w:bidi="ar"/>
        </w:rPr>
        <w:t>市工信局</w:t>
      </w:r>
      <w:r>
        <w:rPr>
          <w:rFonts w:hint="default" w:ascii="仿宋_GB2312" w:hAnsi="宋体" w:eastAsia="仿宋_GB2312" w:cs="仿宋_GB2312"/>
          <w:color w:val="000000"/>
          <w:kern w:val="0"/>
          <w:sz w:val="31"/>
          <w:szCs w:val="31"/>
          <w:u w:val="none"/>
          <w:lang w:val="en-US" w:eastAsia="zh-CN" w:bidi="ar"/>
        </w:rPr>
        <w:t>)</w:t>
      </w:r>
    </w:p>
    <w:p w14:paraId="64E4D01B">
      <w:pPr>
        <w:keepNext w:val="0"/>
        <w:keepLines w:val="0"/>
        <w:pageBreakBefore w:val="0"/>
        <w:widowControl/>
        <w:suppressLineNumbers w:val="0"/>
        <w:kinsoku/>
        <w:wordWrap/>
        <w:overflowPunct/>
        <w:topLinePunct w:val="0"/>
        <w:autoSpaceDE/>
        <w:autoSpaceDN/>
        <w:bidi w:val="0"/>
        <w:adjustRightInd/>
        <w:snapToGrid/>
        <w:spacing w:line="579" w:lineRule="exact"/>
        <w:ind w:firstLine="622" w:firstLineChars="200"/>
        <w:jc w:val="left"/>
        <w:textAlignment w:val="auto"/>
        <w:rPr>
          <w:rFonts w:hint="default" w:ascii="仿宋_GB2312" w:hAnsi="宋体" w:eastAsia="仿宋_GB2312" w:cs="仿宋_GB2312"/>
          <w:color w:val="000000"/>
          <w:kern w:val="0"/>
          <w:sz w:val="31"/>
          <w:szCs w:val="31"/>
          <w:u w:val="none"/>
          <w:lang w:val="en-US" w:eastAsia="zh-CN" w:bidi="ar"/>
        </w:rPr>
      </w:pPr>
      <w:r>
        <w:rPr>
          <w:rFonts w:hint="eastAsia" w:ascii="仿宋_GB2312" w:hAnsi="宋体" w:eastAsia="仿宋_GB2312" w:cs="仿宋_GB2312"/>
          <w:b/>
          <w:bCs/>
          <w:color w:val="000000"/>
          <w:kern w:val="0"/>
          <w:sz w:val="31"/>
          <w:szCs w:val="31"/>
          <w:u w:val="none"/>
          <w:lang w:val="en-US" w:eastAsia="zh-CN" w:bidi="ar"/>
        </w:rPr>
        <w:t>8.</w:t>
      </w:r>
      <w:r>
        <w:rPr>
          <w:rFonts w:hint="default" w:ascii="仿宋_GB2312" w:hAnsi="宋体" w:eastAsia="仿宋_GB2312" w:cs="仿宋_GB2312"/>
          <w:b/>
          <w:bCs/>
          <w:color w:val="000000"/>
          <w:kern w:val="0"/>
          <w:sz w:val="31"/>
          <w:szCs w:val="31"/>
          <w:u w:val="none"/>
          <w:lang w:val="en-US" w:eastAsia="zh-CN" w:bidi="ar"/>
        </w:rPr>
        <w:t>新兴业态领域技能培训行动</w:t>
      </w:r>
      <w:r>
        <w:rPr>
          <w:rFonts w:hint="default" w:ascii="仿宋_GB2312" w:hAnsi="宋体" w:eastAsia="仿宋_GB2312" w:cs="仿宋_GB2312"/>
          <w:color w:val="000000"/>
          <w:kern w:val="0"/>
          <w:sz w:val="31"/>
          <w:szCs w:val="31"/>
          <w:u w:val="none"/>
          <w:lang w:val="en-US" w:eastAsia="zh-CN" w:bidi="ar"/>
        </w:rPr>
        <w:t>。精准对接快递服务、网约配送等新业态开展技能培训。开展互联网营销、直播带岗带货等新职业技能培训，开发一批新业态新职业专项职业能力考核项目，按规定将相关从业人员纳入培训补贴范围。扎实开展交通运输领域从业人员技能提升和安全素质培训。</w:t>
      </w:r>
      <w:r>
        <w:rPr>
          <w:rFonts w:hint="default" w:ascii="仿宋_GB2312" w:hAnsi="宋体" w:eastAsia="仿宋_GB2312" w:cs="仿宋_GB2312"/>
          <w:color w:val="000000"/>
          <w:kern w:val="0"/>
          <w:sz w:val="31"/>
          <w:szCs w:val="31"/>
          <w:u w:val="none"/>
          <w:lang w:val="en-US" w:eastAsia="zh-CN" w:bidi="ar"/>
        </w:rPr>
        <w:t>(牵头单位:</w:t>
      </w:r>
      <w:r>
        <w:rPr>
          <w:rFonts w:hint="eastAsia" w:ascii="仿宋_GB2312" w:hAnsi="宋体" w:eastAsia="仿宋_GB2312" w:cs="仿宋_GB2312"/>
          <w:color w:val="000000"/>
          <w:kern w:val="0"/>
          <w:sz w:val="31"/>
          <w:szCs w:val="31"/>
          <w:u w:val="none"/>
          <w:lang w:val="en-US" w:eastAsia="zh-CN" w:bidi="ar"/>
        </w:rPr>
        <w:t>市邮政局</w:t>
      </w:r>
      <w:r>
        <w:rPr>
          <w:rFonts w:hint="default" w:ascii="仿宋_GB2312" w:hAnsi="宋体" w:eastAsia="仿宋_GB2312" w:cs="仿宋_GB2312"/>
          <w:color w:val="000000"/>
          <w:kern w:val="0"/>
          <w:sz w:val="31"/>
          <w:szCs w:val="31"/>
          <w:u w:val="none"/>
          <w:lang w:val="en-US" w:eastAsia="zh-CN" w:bidi="ar"/>
        </w:rPr>
        <w:t>、</w:t>
      </w:r>
      <w:r>
        <w:rPr>
          <w:rFonts w:hint="eastAsia" w:ascii="仿宋_GB2312" w:hAnsi="宋体" w:eastAsia="仿宋_GB2312" w:cs="仿宋_GB2312"/>
          <w:color w:val="000000"/>
          <w:kern w:val="0"/>
          <w:sz w:val="31"/>
          <w:szCs w:val="31"/>
          <w:u w:val="none"/>
          <w:lang w:val="en-US" w:eastAsia="zh-CN" w:bidi="ar"/>
        </w:rPr>
        <w:t>市市场</w:t>
      </w:r>
      <w:r>
        <w:rPr>
          <w:rFonts w:hint="default" w:ascii="仿宋_GB2312" w:hAnsi="宋体" w:eastAsia="仿宋_GB2312" w:cs="仿宋_GB2312"/>
          <w:color w:val="000000"/>
          <w:kern w:val="0"/>
          <w:sz w:val="31"/>
          <w:szCs w:val="31"/>
          <w:u w:val="none"/>
          <w:lang w:val="en-US" w:eastAsia="zh-CN" w:bidi="ar"/>
        </w:rPr>
        <w:t>监管局、</w:t>
      </w:r>
      <w:r>
        <w:rPr>
          <w:rFonts w:hint="eastAsia" w:ascii="仿宋_GB2312" w:hAnsi="宋体" w:eastAsia="仿宋_GB2312" w:cs="仿宋_GB2312"/>
          <w:color w:val="000000"/>
          <w:kern w:val="0"/>
          <w:sz w:val="31"/>
          <w:szCs w:val="31"/>
          <w:u w:val="none"/>
          <w:lang w:val="en-US" w:eastAsia="zh-CN" w:bidi="ar"/>
        </w:rPr>
        <w:t>市</w:t>
      </w:r>
      <w:r>
        <w:rPr>
          <w:rFonts w:hint="default" w:ascii="仿宋_GB2312" w:hAnsi="宋体" w:eastAsia="仿宋_GB2312" w:cs="仿宋_GB2312"/>
          <w:color w:val="000000"/>
          <w:kern w:val="0"/>
          <w:sz w:val="31"/>
          <w:szCs w:val="31"/>
          <w:u w:val="none"/>
          <w:lang w:val="en-US" w:eastAsia="zh-CN" w:bidi="ar"/>
        </w:rPr>
        <w:t>交通</w:t>
      </w:r>
      <w:r>
        <w:rPr>
          <w:rFonts w:hint="eastAsia" w:ascii="仿宋_GB2312" w:hAnsi="宋体" w:eastAsia="仿宋_GB2312" w:cs="仿宋_GB2312"/>
          <w:color w:val="000000"/>
          <w:kern w:val="0"/>
          <w:sz w:val="31"/>
          <w:szCs w:val="31"/>
          <w:u w:val="none"/>
          <w:lang w:val="en-US" w:eastAsia="zh-CN" w:bidi="ar"/>
        </w:rPr>
        <w:t>局</w:t>
      </w:r>
      <w:r>
        <w:rPr>
          <w:rFonts w:hint="default" w:ascii="仿宋_GB2312" w:hAnsi="宋体" w:eastAsia="仿宋_GB2312" w:cs="仿宋_GB2312"/>
          <w:color w:val="000000"/>
          <w:kern w:val="0"/>
          <w:sz w:val="31"/>
          <w:szCs w:val="31"/>
          <w:u w:val="none"/>
          <w:lang w:val="en-US" w:eastAsia="zh-CN" w:bidi="ar"/>
        </w:rPr>
        <w:t>、</w:t>
      </w:r>
      <w:r>
        <w:rPr>
          <w:rFonts w:hint="eastAsia" w:ascii="仿宋_GB2312" w:hAnsi="宋体" w:eastAsia="仿宋_GB2312" w:cs="仿宋_GB2312"/>
          <w:color w:val="000000"/>
          <w:kern w:val="0"/>
          <w:sz w:val="31"/>
          <w:szCs w:val="31"/>
          <w:u w:val="none"/>
          <w:lang w:val="en-US" w:eastAsia="zh-CN" w:bidi="ar"/>
        </w:rPr>
        <w:t>市商务局</w:t>
      </w:r>
      <w:r>
        <w:rPr>
          <w:rFonts w:hint="default" w:ascii="仿宋_GB2312" w:hAnsi="宋体" w:eastAsia="仿宋_GB2312" w:cs="仿宋_GB2312"/>
          <w:color w:val="000000"/>
          <w:kern w:val="0"/>
          <w:sz w:val="31"/>
          <w:szCs w:val="31"/>
          <w:u w:val="none"/>
          <w:lang w:val="en-US" w:eastAsia="zh-CN" w:bidi="ar"/>
        </w:rPr>
        <w:t>)</w:t>
      </w:r>
    </w:p>
    <w:p w14:paraId="28FBB9F7">
      <w:pPr>
        <w:keepNext w:val="0"/>
        <w:keepLines w:val="0"/>
        <w:pageBreakBefore w:val="0"/>
        <w:widowControl/>
        <w:suppressLineNumbers w:val="0"/>
        <w:kinsoku/>
        <w:wordWrap/>
        <w:overflowPunct/>
        <w:topLinePunct w:val="0"/>
        <w:autoSpaceDE/>
        <w:autoSpaceDN/>
        <w:bidi w:val="0"/>
        <w:adjustRightInd/>
        <w:snapToGrid/>
        <w:spacing w:line="579" w:lineRule="exact"/>
        <w:ind w:firstLine="622" w:firstLineChars="200"/>
        <w:jc w:val="left"/>
        <w:textAlignment w:val="auto"/>
        <w:rPr>
          <w:rFonts w:hint="default" w:ascii="仿宋_GB2312" w:hAnsi="宋体" w:eastAsia="仿宋_GB2312" w:cs="仿宋_GB2312"/>
          <w:color w:val="000000"/>
          <w:kern w:val="0"/>
          <w:sz w:val="31"/>
          <w:szCs w:val="31"/>
          <w:u w:val="none"/>
          <w:lang w:val="en-US" w:eastAsia="zh-CN" w:bidi="ar"/>
        </w:rPr>
      </w:pPr>
      <w:r>
        <w:rPr>
          <w:rFonts w:hint="eastAsia" w:ascii="仿宋_GB2312" w:hAnsi="宋体" w:eastAsia="仿宋_GB2312" w:cs="仿宋_GB2312"/>
          <w:b/>
          <w:bCs/>
          <w:color w:val="000000"/>
          <w:kern w:val="0"/>
          <w:sz w:val="31"/>
          <w:szCs w:val="31"/>
          <w:u w:val="none"/>
          <w:lang w:val="en-US" w:eastAsia="zh-CN" w:bidi="ar"/>
        </w:rPr>
        <w:t>9.</w:t>
      </w:r>
      <w:r>
        <w:rPr>
          <w:rFonts w:hint="default" w:ascii="仿宋_GB2312" w:hAnsi="宋体" w:eastAsia="仿宋_GB2312" w:cs="仿宋_GB2312"/>
          <w:b/>
          <w:bCs/>
          <w:color w:val="000000"/>
          <w:kern w:val="0"/>
          <w:sz w:val="31"/>
          <w:szCs w:val="31"/>
          <w:u w:val="none"/>
          <w:lang w:val="en-US" w:eastAsia="zh-CN" w:bidi="ar"/>
        </w:rPr>
        <w:t>康养服务领域技能培训行动</w:t>
      </w:r>
      <w:r>
        <w:rPr>
          <w:rFonts w:hint="default" w:ascii="仿宋_GB2312" w:hAnsi="宋体" w:eastAsia="仿宋_GB2312" w:cs="仿宋_GB2312"/>
          <w:color w:val="000000"/>
          <w:kern w:val="0"/>
          <w:sz w:val="31"/>
          <w:szCs w:val="31"/>
          <w:u w:val="none"/>
          <w:lang w:val="en-US" w:eastAsia="zh-CN" w:bidi="ar"/>
        </w:rPr>
        <w:t>。围绕养老护理、家政服务、婴幼儿照护等康养服务领域，推动实现“人人培训、人人持证”。围绕药膳制作、长期照护等新职业新领域，加快培养康养复合型、医养结合型技术技能人才</w:t>
      </w:r>
      <w:r>
        <w:rPr>
          <w:rFonts w:hint="default" w:ascii="仿宋_GB2312" w:hAnsi="宋体" w:eastAsia="仿宋_GB2312" w:cs="仿宋_GB2312"/>
          <w:color w:val="000000"/>
          <w:kern w:val="0"/>
          <w:sz w:val="31"/>
          <w:szCs w:val="31"/>
          <w:u w:val="none"/>
          <w:lang w:val="en-US" w:eastAsia="zh-CN" w:bidi="ar"/>
        </w:rPr>
        <w:t>。(牵头单位:</w:t>
      </w:r>
      <w:r>
        <w:rPr>
          <w:rFonts w:hint="eastAsia" w:ascii="仿宋_GB2312" w:hAnsi="宋体" w:eastAsia="仿宋_GB2312" w:cs="仿宋_GB2312"/>
          <w:color w:val="000000"/>
          <w:kern w:val="0"/>
          <w:sz w:val="31"/>
          <w:szCs w:val="31"/>
          <w:u w:val="none"/>
          <w:lang w:val="en-US" w:eastAsia="zh-CN" w:bidi="ar"/>
        </w:rPr>
        <w:t>市民政局</w:t>
      </w:r>
      <w:r>
        <w:rPr>
          <w:rFonts w:hint="default" w:ascii="仿宋_GB2312" w:hAnsi="宋体" w:eastAsia="仿宋_GB2312" w:cs="仿宋_GB2312"/>
          <w:color w:val="000000"/>
          <w:kern w:val="0"/>
          <w:sz w:val="31"/>
          <w:szCs w:val="31"/>
          <w:u w:val="none"/>
          <w:lang w:val="en-US" w:eastAsia="zh-CN" w:bidi="ar"/>
        </w:rPr>
        <w:t>、</w:t>
      </w:r>
      <w:r>
        <w:rPr>
          <w:rFonts w:hint="eastAsia" w:ascii="仿宋_GB2312" w:hAnsi="宋体" w:eastAsia="仿宋_GB2312" w:cs="仿宋_GB2312"/>
          <w:color w:val="000000"/>
          <w:kern w:val="0"/>
          <w:sz w:val="31"/>
          <w:szCs w:val="31"/>
          <w:u w:val="none"/>
          <w:lang w:val="en-US" w:eastAsia="zh-CN" w:bidi="ar"/>
        </w:rPr>
        <w:t>市商务局</w:t>
      </w:r>
      <w:r>
        <w:rPr>
          <w:rFonts w:hint="default" w:ascii="仿宋_GB2312" w:hAnsi="宋体" w:eastAsia="仿宋_GB2312" w:cs="仿宋_GB2312"/>
          <w:color w:val="000000"/>
          <w:kern w:val="0"/>
          <w:sz w:val="31"/>
          <w:szCs w:val="31"/>
          <w:u w:val="none"/>
          <w:lang w:val="en-US" w:eastAsia="zh-CN" w:bidi="ar"/>
        </w:rPr>
        <w:t>、</w:t>
      </w:r>
      <w:r>
        <w:rPr>
          <w:rFonts w:hint="eastAsia" w:ascii="仿宋_GB2312" w:hAnsi="宋体" w:eastAsia="仿宋_GB2312" w:cs="仿宋_GB2312"/>
          <w:color w:val="000000"/>
          <w:kern w:val="0"/>
          <w:sz w:val="31"/>
          <w:szCs w:val="31"/>
          <w:u w:val="none"/>
          <w:lang w:val="en-US" w:eastAsia="zh-CN" w:bidi="ar"/>
        </w:rPr>
        <w:t>市</w:t>
      </w:r>
      <w:r>
        <w:rPr>
          <w:rFonts w:hint="default" w:ascii="仿宋_GB2312" w:hAnsi="宋体" w:eastAsia="仿宋_GB2312" w:cs="仿宋_GB2312"/>
          <w:color w:val="000000"/>
          <w:kern w:val="0"/>
          <w:sz w:val="31"/>
          <w:szCs w:val="31"/>
          <w:u w:val="none"/>
          <w:lang w:val="en-US" w:eastAsia="zh-CN" w:bidi="ar"/>
        </w:rPr>
        <w:t>卫健委、</w:t>
      </w:r>
      <w:r>
        <w:rPr>
          <w:rFonts w:hint="eastAsia" w:ascii="仿宋_GB2312" w:hAnsi="宋体" w:eastAsia="仿宋_GB2312" w:cs="仿宋_GB2312"/>
          <w:color w:val="000000"/>
          <w:kern w:val="0"/>
          <w:sz w:val="31"/>
          <w:szCs w:val="31"/>
          <w:u w:val="none"/>
          <w:lang w:val="en-US" w:eastAsia="zh-CN" w:bidi="ar"/>
        </w:rPr>
        <w:t>市</w:t>
      </w:r>
      <w:r>
        <w:rPr>
          <w:rFonts w:hint="default" w:ascii="仿宋_GB2312" w:hAnsi="宋体" w:eastAsia="仿宋_GB2312" w:cs="仿宋_GB2312"/>
          <w:color w:val="000000"/>
          <w:kern w:val="0"/>
          <w:sz w:val="31"/>
          <w:szCs w:val="31"/>
          <w:u w:val="none"/>
          <w:lang w:val="en-US" w:eastAsia="zh-CN" w:bidi="ar"/>
        </w:rPr>
        <w:t>医保局、</w:t>
      </w:r>
      <w:r>
        <w:rPr>
          <w:rFonts w:hint="eastAsia" w:ascii="仿宋_GB2312" w:hAnsi="宋体" w:eastAsia="仿宋_GB2312" w:cs="仿宋_GB2312"/>
          <w:color w:val="000000"/>
          <w:kern w:val="0"/>
          <w:sz w:val="31"/>
          <w:szCs w:val="31"/>
          <w:u w:val="none"/>
          <w:lang w:val="en-US" w:eastAsia="zh-CN" w:bidi="ar"/>
        </w:rPr>
        <w:t>市</w:t>
      </w:r>
      <w:r>
        <w:rPr>
          <w:rFonts w:hint="default" w:ascii="仿宋_GB2312" w:hAnsi="宋体" w:eastAsia="仿宋_GB2312" w:cs="仿宋_GB2312"/>
          <w:color w:val="000000"/>
          <w:kern w:val="0"/>
          <w:sz w:val="31"/>
          <w:szCs w:val="31"/>
          <w:u w:val="none"/>
          <w:lang w:val="en-US" w:eastAsia="zh-CN" w:bidi="ar"/>
        </w:rPr>
        <w:t>妇联)</w:t>
      </w:r>
    </w:p>
    <w:p w14:paraId="02881BE2">
      <w:pPr>
        <w:keepNext w:val="0"/>
        <w:keepLines w:val="0"/>
        <w:pageBreakBefore w:val="0"/>
        <w:widowControl/>
        <w:suppressLineNumbers w:val="0"/>
        <w:kinsoku/>
        <w:wordWrap/>
        <w:overflowPunct/>
        <w:topLinePunct w:val="0"/>
        <w:autoSpaceDE/>
        <w:autoSpaceDN/>
        <w:bidi w:val="0"/>
        <w:adjustRightInd/>
        <w:snapToGrid/>
        <w:spacing w:line="579" w:lineRule="exact"/>
        <w:ind w:firstLine="622" w:firstLineChars="200"/>
        <w:jc w:val="left"/>
        <w:textAlignment w:val="auto"/>
        <w:rPr>
          <w:rFonts w:hint="eastAsia" w:ascii="楷体_GB2312" w:hAnsi="楷体_GB2312" w:eastAsia="楷体_GB2312" w:cs="楷体_GB2312"/>
          <w:b/>
          <w:bCs/>
          <w:color w:val="000000"/>
          <w:kern w:val="0"/>
          <w:sz w:val="31"/>
          <w:szCs w:val="31"/>
          <w:u w:val="none"/>
          <w:lang w:val="en-US" w:eastAsia="zh-CN" w:bidi="ar"/>
        </w:rPr>
      </w:pPr>
      <w:r>
        <w:rPr>
          <w:rFonts w:hint="eastAsia" w:ascii="楷体_GB2312" w:hAnsi="楷体_GB2312" w:eastAsia="楷体_GB2312" w:cs="楷体_GB2312"/>
          <w:b/>
          <w:bCs/>
          <w:color w:val="000000"/>
          <w:kern w:val="0"/>
          <w:sz w:val="31"/>
          <w:szCs w:val="31"/>
          <w:u w:val="none"/>
          <w:lang w:val="en-US" w:eastAsia="zh-CN" w:bidi="ar"/>
        </w:rPr>
        <w:t>（三）技能人才培育载体提效行动。</w:t>
      </w:r>
    </w:p>
    <w:p w14:paraId="763A10E4">
      <w:pPr>
        <w:keepNext w:val="0"/>
        <w:keepLines w:val="0"/>
        <w:pageBreakBefore w:val="0"/>
        <w:widowControl/>
        <w:suppressLineNumbers w:val="0"/>
        <w:kinsoku/>
        <w:wordWrap/>
        <w:overflowPunct/>
        <w:topLinePunct w:val="0"/>
        <w:autoSpaceDE/>
        <w:autoSpaceDN/>
        <w:bidi w:val="0"/>
        <w:adjustRightInd/>
        <w:snapToGrid/>
        <w:spacing w:line="579" w:lineRule="exact"/>
        <w:ind w:firstLine="622" w:firstLineChars="200"/>
        <w:jc w:val="left"/>
        <w:textAlignment w:val="auto"/>
        <w:rPr>
          <w:rFonts w:hint="default" w:ascii="仿宋_GB2312" w:hAnsi="宋体" w:eastAsia="仿宋_GB2312" w:cs="仿宋_GB2312"/>
          <w:color w:val="000000"/>
          <w:kern w:val="0"/>
          <w:sz w:val="31"/>
          <w:szCs w:val="31"/>
          <w:u w:val="none"/>
          <w:lang w:val="en-US" w:eastAsia="zh-CN" w:bidi="ar"/>
        </w:rPr>
      </w:pPr>
      <w:r>
        <w:rPr>
          <w:rFonts w:hint="eastAsia" w:ascii="仿宋_GB2312" w:hAnsi="宋体" w:eastAsia="仿宋_GB2312" w:cs="仿宋_GB2312"/>
          <w:b/>
          <w:bCs/>
          <w:color w:val="000000"/>
          <w:kern w:val="0"/>
          <w:sz w:val="31"/>
          <w:szCs w:val="31"/>
          <w:u w:val="none"/>
          <w:lang w:val="en-US" w:eastAsia="zh-CN" w:bidi="ar"/>
        </w:rPr>
        <w:t>10、完善公共职业技能培训体系</w:t>
      </w:r>
      <w:r>
        <w:rPr>
          <w:rFonts w:hint="eastAsia" w:ascii="仿宋_GB2312" w:hAnsi="宋体" w:eastAsia="仿宋_GB2312" w:cs="仿宋_GB2312"/>
          <w:color w:val="000000"/>
          <w:kern w:val="0"/>
          <w:sz w:val="31"/>
          <w:szCs w:val="31"/>
          <w:u w:val="none"/>
          <w:lang w:val="en-US" w:eastAsia="zh-CN" w:bidi="ar"/>
        </w:rPr>
        <w:t>。</w:t>
      </w:r>
      <w:r>
        <w:rPr>
          <w:rFonts w:hint="eastAsia" w:ascii="仿宋_GB2312" w:hAnsi="宋体" w:eastAsia="仿宋_GB2312" w:cs="仿宋_GB2312"/>
          <w:color w:val="000000"/>
          <w:kern w:val="0"/>
          <w:sz w:val="31"/>
          <w:szCs w:val="31"/>
          <w:u w:val="none"/>
          <w:lang w:val="en-US" w:eastAsia="zh-CN" w:bidi="ar"/>
        </w:rPr>
        <w:t>积极推动淮南市公共实训基地建设，鼓励有条件的县区建设县级公共实训基地。开展职业技能培训品牌培育行动，积极推动“红扳手”新能源汽车维修、船员培训、康养照护等有基础的工种持续做大做强，申报“皖工徽匠”职业技能培训品牌，每个给予10万元奖补</w:t>
      </w:r>
      <w:r>
        <w:rPr>
          <w:rFonts w:hint="eastAsia" w:ascii="仿宋_GB2312" w:hAnsi="宋体" w:eastAsia="仿宋_GB2312" w:cs="仿宋_GB2312"/>
          <w:color w:val="000000"/>
          <w:kern w:val="0"/>
          <w:sz w:val="31"/>
          <w:szCs w:val="31"/>
          <w:u w:val="none"/>
          <w:lang w:val="en-US" w:eastAsia="zh-CN" w:bidi="ar"/>
        </w:rPr>
        <w:t>。探索“技能夜校”“技能夜市”新型培训模式，推进覆盖城乡的“半小时技能培训圈”“技能车间（工坊）”建设。</w:t>
      </w:r>
      <w:r>
        <w:rPr>
          <w:rFonts w:hint="default" w:ascii="仿宋_GB2312" w:hAnsi="宋体" w:eastAsia="仿宋_GB2312" w:cs="仿宋_GB2312"/>
          <w:color w:val="000000"/>
          <w:kern w:val="0"/>
          <w:sz w:val="31"/>
          <w:szCs w:val="31"/>
          <w:u w:val="none"/>
          <w:lang w:val="en-US" w:eastAsia="zh-CN" w:bidi="ar"/>
        </w:rPr>
        <w:t>(牵头单位:</w:t>
      </w:r>
      <w:r>
        <w:rPr>
          <w:rFonts w:hint="eastAsia" w:ascii="仿宋_GB2312" w:hAnsi="宋体" w:eastAsia="仿宋_GB2312" w:cs="仿宋_GB2312"/>
          <w:color w:val="000000"/>
          <w:kern w:val="0"/>
          <w:sz w:val="31"/>
          <w:szCs w:val="31"/>
          <w:u w:val="none"/>
          <w:lang w:val="en-US" w:eastAsia="zh-CN" w:bidi="ar"/>
        </w:rPr>
        <w:t>市人社局、市发改委；配合单位：市教体局、市财政局</w:t>
      </w:r>
      <w:r>
        <w:rPr>
          <w:rFonts w:hint="default" w:ascii="仿宋_GB2312" w:hAnsi="宋体" w:eastAsia="仿宋_GB2312" w:cs="仿宋_GB2312"/>
          <w:color w:val="000000"/>
          <w:kern w:val="0"/>
          <w:sz w:val="31"/>
          <w:szCs w:val="31"/>
          <w:u w:val="none"/>
          <w:lang w:val="en-US" w:eastAsia="zh-CN" w:bidi="ar"/>
        </w:rPr>
        <w:t>、</w:t>
      </w:r>
      <w:r>
        <w:rPr>
          <w:rFonts w:hint="eastAsia" w:ascii="仿宋_GB2312" w:hAnsi="宋体" w:eastAsia="仿宋_GB2312" w:cs="仿宋_GB2312"/>
          <w:color w:val="000000"/>
          <w:kern w:val="0"/>
          <w:sz w:val="31"/>
          <w:szCs w:val="31"/>
          <w:u w:val="none"/>
          <w:lang w:val="en-US" w:eastAsia="zh-CN" w:bidi="ar"/>
        </w:rPr>
        <w:t>市重点工程建设管理中心等</w:t>
      </w:r>
      <w:r>
        <w:rPr>
          <w:rFonts w:hint="default" w:ascii="仿宋_GB2312" w:hAnsi="宋体" w:eastAsia="仿宋_GB2312" w:cs="仿宋_GB2312"/>
          <w:color w:val="000000"/>
          <w:kern w:val="0"/>
          <w:sz w:val="31"/>
          <w:szCs w:val="31"/>
          <w:u w:val="none"/>
          <w:lang w:val="en-US" w:eastAsia="zh-CN" w:bidi="ar"/>
        </w:rPr>
        <w:t>)</w:t>
      </w:r>
    </w:p>
    <w:p w14:paraId="7C552EEE">
      <w:pPr>
        <w:keepNext w:val="0"/>
        <w:keepLines w:val="0"/>
        <w:pageBreakBefore w:val="0"/>
        <w:widowControl/>
        <w:suppressLineNumbers w:val="0"/>
        <w:kinsoku/>
        <w:wordWrap/>
        <w:overflowPunct/>
        <w:topLinePunct w:val="0"/>
        <w:autoSpaceDE/>
        <w:autoSpaceDN/>
        <w:bidi w:val="0"/>
        <w:adjustRightInd/>
        <w:snapToGrid/>
        <w:spacing w:line="579" w:lineRule="exact"/>
        <w:ind w:firstLine="622" w:firstLineChars="200"/>
        <w:jc w:val="left"/>
        <w:textAlignment w:val="auto"/>
        <w:rPr>
          <w:rFonts w:hint="eastAsia" w:ascii="仿宋_GB2312" w:hAnsi="宋体" w:eastAsia="仿宋_GB2312" w:cs="仿宋_GB2312"/>
          <w:color w:val="000000"/>
          <w:kern w:val="0"/>
          <w:sz w:val="31"/>
          <w:szCs w:val="31"/>
          <w:u w:val="none"/>
          <w:lang w:val="en-US" w:eastAsia="zh-CN" w:bidi="ar"/>
        </w:rPr>
      </w:pPr>
      <w:r>
        <w:rPr>
          <w:rFonts w:hint="eastAsia" w:ascii="仿宋_GB2312" w:hAnsi="宋体" w:eastAsia="仿宋_GB2312" w:cs="仿宋_GB2312"/>
          <w:b/>
          <w:bCs/>
          <w:color w:val="000000"/>
          <w:kern w:val="0"/>
          <w:sz w:val="31"/>
          <w:szCs w:val="31"/>
          <w:u w:val="none"/>
          <w:lang w:val="en-US" w:eastAsia="zh-CN" w:bidi="ar"/>
        </w:rPr>
        <w:t>11. 强化高技能人才平台建设</w:t>
      </w:r>
      <w:r>
        <w:rPr>
          <w:rFonts w:hint="eastAsia" w:ascii="仿宋_GB2312" w:hAnsi="宋体" w:eastAsia="仿宋_GB2312" w:cs="仿宋_GB2312"/>
          <w:color w:val="000000"/>
          <w:kern w:val="0"/>
          <w:sz w:val="31"/>
          <w:szCs w:val="31"/>
          <w:u w:val="none"/>
          <w:lang w:val="en-US" w:eastAsia="zh-CN" w:bidi="ar"/>
        </w:rPr>
        <w:t>。</w:t>
      </w:r>
      <w:r>
        <w:rPr>
          <w:rFonts w:hint="eastAsia" w:ascii="仿宋_GB2312" w:hAnsi="宋体" w:eastAsia="仿宋_GB2312" w:cs="仿宋_GB2312"/>
          <w:color w:val="000000"/>
          <w:kern w:val="0"/>
          <w:sz w:val="31"/>
          <w:szCs w:val="31"/>
          <w:u w:val="none"/>
          <w:lang w:val="en-US" w:eastAsia="zh-CN" w:bidi="ar"/>
        </w:rPr>
        <w:t>结合实际每年评选5-10个市级技能大师工作室，一次性给予5万元建设补助</w:t>
      </w:r>
      <w:r>
        <w:rPr>
          <w:rFonts w:hint="eastAsia" w:ascii="仿宋_GB2312" w:hAnsi="宋体" w:eastAsia="仿宋_GB2312" w:cs="仿宋_GB2312"/>
          <w:color w:val="000000"/>
          <w:kern w:val="0"/>
          <w:sz w:val="31"/>
          <w:szCs w:val="31"/>
          <w:u w:val="none"/>
          <w:lang w:val="en-US" w:eastAsia="zh-CN" w:bidi="ar"/>
        </w:rPr>
        <w:t>。支持有条件的单位申报省级高技能人才培训竞赛基地、技能大师工作室、劳模工匠创新工作室，分别一次性给予200万元、20万元和5万元建设补助。每两年开展一次技能大师工作室工作成果评鉴，对工作成果突出的工作室给予10万元奖补。积极争取世界技能大赛中国集训基地，对国家首次认定的主集训基地给予500万元补助，对再次被认定的给予300万元补助，对国家认定的世界技能大赛副集训基地给予200万元补助。（牵头单位：市人社局；配合单位：市财政局、市总工会）</w:t>
      </w:r>
    </w:p>
    <w:p w14:paraId="4A5207F7">
      <w:pPr>
        <w:keepNext w:val="0"/>
        <w:keepLines w:val="0"/>
        <w:pageBreakBefore w:val="0"/>
        <w:widowControl/>
        <w:suppressLineNumbers w:val="0"/>
        <w:kinsoku/>
        <w:wordWrap/>
        <w:overflowPunct/>
        <w:topLinePunct w:val="0"/>
        <w:autoSpaceDE/>
        <w:autoSpaceDN/>
        <w:bidi w:val="0"/>
        <w:adjustRightInd/>
        <w:snapToGrid/>
        <w:spacing w:line="579" w:lineRule="exact"/>
        <w:ind w:firstLine="622" w:firstLineChars="200"/>
        <w:jc w:val="left"/>
        <w:textAlignment w:val="auto"/>
        <w:rPr>
          <w:rFonts w:hint="eastAsia" w:ascii="仿宋_GB2312" w:hAnsi="宋体" w:eastAsia="仿宋_GB2312" w:cs="仿宋_GB2312"/>
          <w:color w:val="000000"/>
          <w:kern w:val="0"/>
          <w:sz w:val="31"/>
          <w:szCs w:val="31"/>
          <w:u w:val="none"/>
          <w:lang w:val="en-US" w:eastAsia="zh-CN" w:bidi="ar"/>
        </w:rPr>
      </w:pPr>
      <w:r>
        <w:rPr>
          <w:rFonts w:hint="eastAsia" w:ascii="仿宋_GB2312" w:hAnsi="宋体" w:eastAsia="仿宋_GB2312" w:cs="仿宋_GB2312"/>
          <w:b/>
          <w:bCs/>
          <w:color w:val="000000"/>
          <w:kern w:val="0"/>
          <w:sz w:val="31"/>
          <w:szCs w:val="31"/>
          <w:u w:val="none"/>
          <w:lang w:val="en-US" w:eastAsia="zh-CN" w:bidi="ar"/>
        </w:rPr>
        <w:t>12.加大高技能人才激励力度</w:t>
      </w:r>
      <w:r>
        <w:rPr>
          <w:rFonts w:hint="eastAsia" w:ascii="仿宋_GB2312" w:hAnsi="宋体" w:eastAsia="仿宋_GB2312" w:cs="仿宋_GB2312"/>
          <w:color w:val="000000"/>
          <w:kern w:val="0"/>
          <w:sz w:val="31"/>
          <w:szCs w:val="31"/>
          <w:u w:val="none"/>
          <w:lang w:val="en-US" w:eastAsia="zh-CN" w:bidi="ar"/>
        </w:rPr>
        <w:t>。</w:t>
      </w:r>
      <w:r>
        <w:rPr>
          <w:rFonts w:hint="eastAsia" w:ascii="仿宋_GB2312" w:hAnsi="宋体" w:eastAsia="仿宋_GB2312" w:cs="仿宋_GB2312"/>
          <w:color w:val="000000"/>
          <w:kern w:val="0"/>
          <w:sz w:val="31"/>
          <w:szCs w:val="31"/>
          <w:u w:val="none"/>
          <w:lang w:val="en-US" w:eastAsia="zh-CN" w:bidi="ar"/>
        </w:rPr>
        <w:t>积极开展淮南工匠、淮南市技术能手等认定工作，择优推荐省级高技能人才评选表彰，按规定授予荣誉称号并给予奖励</w:t>
      </w:r>
      <w:r>
        <w:rPr>
          <w:rFonts w:hint="eastAsia" w:ascii="仿宋_GB2312" w:hAnsi="宋体" w:eastAsia="仿宋_GB2312" w:cs="仿宋_GB2312"/>
          <w:color w:val="000000"/>
          <w:kern w:val="0"/>
          <w:sz w:val="31"/>
          <w:szCs w:val="31"/>
          <w:u w:val="none"/>
          <w:lang w:val="en-US" w:eastAsia="zh-CN" w:bidi="ar"/>
        </w:rPr>
        <w:t>。</w:t>
      </w:r>
      <w:r>
        <w:rPr>
          <w:rFonts w:hint="eastAsia" w:ascii="仿宋_GB2312" w:hAnsi="宋体" w:eastAsia="仿宋_GB2312" w:cs="仿宋_GB2312"/>
          <w:color w:val="000000"/>
          <w:kern w:val="0"/>
          <w:sz w:val="31"/>
          <w:szCs w:val="31"/>
          <w:u w:val="none"/>
          <w:lang w:val="en-US" w:eastAsia="zh-CN" w:bidi="ar"/>
        </w:rPr>
        <w:t>推动高技能人才参与“两红两优”、</w:t>
      </w:r>
      <w:r>
        <w:rPr>
          <w:rFonts w:hint="eastAsia" w:ascii="仿宋_GB2312" w:hAnsi="宋体" w:eastAsia="仿宋_GB2312" w:cs="仿宋_GB2312"/>
          <w:color w:val="000000"/>
          <w:kern w:val="0"/>
          <w:sz w:val="31"/>
          <w:szCs w:val="31"/>
          <w:highlight w:val="none"/>
          <w:u w:val="none"/>
          <w:lang w:val="en-US" w:eastAsia="zh-CN" w:bidi="ar"/>
        </w:rPr>
        <w:t>五四青年奖章</w:t>
      </w:r>
      <w:r>
        <w:rPr>
          <w:rFonts w:hint="eastAsia" w:ascii="仿宋_GB2312" w:hAnsi="宋体" w:eastAsia="仿宋_GB2312" w:cs="仿宋_GB2312"/>
          <w:color w:val="000000"/>
          <w:kern w:val="0"/>
          <w:sz w:val="31"/>
          <w:szCs w:val="31"/>
          <w:u w:val="none"/>
          <w:lang w:val="en-US" w:eastAsia="zh-CN" w:bidi="ar"/>
        </w:rPr>
        <w:t>、新时代青年先锋等荣誉申报，按规定授予荣誉称号并给予奖励</w:t>
      </w:r>
      <w:r>
        <w:rPr>
          <w:rFonts w:hint="eastAsia" w:ascii="仿宋_GB2312" w:hAnsi="宋体" w:eastAsia="仿宋_GB2312" w:cs="仿宋_GB2312"/>
          <w:color w:val="000000"/>
          <w:kern w:val="0"/>
          <w:sz w:val="31"/>
          <w:szCs w:val="31"/>
          <w:u w:val="none"/>
          <w:lang w:val="en-US" w:eastAsia="zh-CN" w:bidi="ar"/>
        </w:rPr>
        <w:t>。对符合条件的高技能人才，可采取直接考察方式公开招聘到职业学校与所获技能奖项相关的岗位任教，并破格晋升职称。</w:t>
      </w:r>
      <w:r>
        <w:rPr>
          <w:rFonts w:hint="eastAsia" w:ascii="仿宋_GB2312" w:hAnsi="宋体" w:eastAsia="仿宋_GB2312" w:cs="仿宋_GB2312"/>
          <w:color w:val="000000"/>
          <w:kern w:val="0"/>
          <w:sz w:val="31"/>
          <w:szCs w:val="31"/>
          <w:u w:val="none"/>
          <w:lang w:val="en-US" w:eastAsia="zh-CN" w:bidi="ar"/>
        </w:rPr>
        <w:t>支持高技能人才申报高层次人才认定和“优才卡”，按照人才层次享受相关待遇，鼓励高技能领军人才在工会等群团组织中挂职或兼职</w:t>
      </w:r>
      <w:r>
        <w:rPr>
          <w:rFonts w:hint="eastAsia" w:ascii="仿宋_GB2312" w:hAnsi="宋体" w:eastAsia="仿宋_GB2312" w:cs="仿宋_GB2312"/>
          <w:color w:val="000000"/>
          <w:kern w:val="0"/>
          <w:sz w:val="31"/>
          <w:szCs w:val="31"/>
          <w:u w:val="none"/>
          <w:lang w:val="en-US" w:eastAsia="zh-CN" w:bidi="ar"/>
        </w:rPr>
        <w:t>。（牵头单位：市人社局；配合单位：市委人才工作局、市教体局、市财政局、市总工会、团市委、市妇联）</w:t>
      </w:r>
    </w:p>
    <w:p w14:paraId="2C0EA199">
      <w:pPr>
        <w:keepNext w:val="0"/>
        <w:keepLines w:val="0"/>
        <w:pageBreakBefore w:val="0"/>
        <w:widowControl/>
        <w:suppressLineNumbers w:val="0"/>
        <w:kinsoku/>
        <w:wordWrap/>
        <w:overflowPunct/>
        <w:topLinePunct w:val="0"/>
        <w:autoSpaceDE/>
        <w:autoSpaceDN/>
        <w:bidi w:val="0"/>
        <w:adjustRightInd/>
        <w:snapToGrid/>
        <w:spacing w:line="579" w:lineRule="exact"/>
        <w:ind w:firstLine="622" w:firstLineChars="200"/>
        <w:jc w:val="left"/>
        <w:textAlignment w:val="auto"/>
        <w:rPr>
          <w:rFonts w:hint="eastAsia" w:ascii="楷体_GB2312" w:hAnsi="楷体_GB2312" w:eastAsia="楷体_GB2312" w:cs="楷体_GB2312"/>
          <w:b/>
          <w:bCs/>
          <w:color w:val="000000"/>
          <w:kern w:val="0"/>
          <w:sz w:val="31"/>
          <w:szCs w:val="31"/>
          <w:u w:val="none"/>
          <w:lang w:val="en-US" w:eastAsia="zh-CN" w:bidi="ar"/>
        </w:rPr>
      </w:pPr>
      <w:r>
        <w:rPr>
          <w:rFonts w:hint="eastAsia" w:ascii="楷体_GB2312" w:hAnsi="楷体_GB2312" w:eastAsia="楷体_GB2312" w:cs="楷体_GB2312"/>
          <w:b/>
          <w:bCs/>
          <w:color w:val="000000"/>
          <w:kern w:val="0"/>
          <w:sz w:val="31"/>
          <w:szCs w:val="31"/>
          <w:u w:val="none"/>
          <w:lang w:val="en-US" w:eastAsia="zh-CN" w:bidi="ar"/>
        </w:rPr>
        <w:t>（四）技能人才使用评价提速行动。</w:t>
      </w:r>
    </w:p>
    <w:p w14:paraId="05E12604">
      <w:pPr>
        <w:keepNext w:val="0"/>
        <w:keepLines w:val="0"/>
        <w:pageBreakBefore w:val="0"/>
        <w:widowControl/>
        <w:suppressLineNumbers w:val="0"/>
        <w:kinsoku/>
        <w:wordWrap/>
        <w:overflowPunct/>
        <w:topLinePunct w:val="0"/>
        <w:autoSpaceDE/>
        <w:autoSpaceDN/>
        <w:bidi w:val="0"/>
        <w:adjustRightInd/>
        <w:snapToGrid/>
        <w:spacing w:line="579" w:lineRule="exact"/>
        <w:ind w:firstLine="622" w:firstLineChars="200"/>
        <w:jc w:val="left"/>
        <w:textAlignment w:val="auto"/>
        <w:rPr>
          <w:rFonts w:hint="eastAsia" w:ascii="仿宋_GB2312" w:hAnsi="宋体" w:eastAsia="仿宋_GB2312" w:cs="仿宋_GB2312"/>
          <w:color w:val="000000"/>
          <w:kern w:val="0"/>
          <w:sz w:val="31"/>
          <w:szCs w:val="31"/>
          <w:u w:val="none"/>
          <w:lang w:val="en-US" w:eastAsia="zh-CN" w:bidi="ar"/>
        </w:rPr>
      </w:pPr>
      <w:r>
        <w:rPr>
          <w:rFonts w:hint="eastAsia" w:ascii="仿宋_GB2312" w:hAnsi="宋体" w:eastAsia="仿宋_GB2312" w:cs="仿宋_GB2312"/>
          <w:b/>
          <w:bCs/>
          <w:color w:val="000000"/>
          <w:kern w:val="0"/>
          <w:sz w:val="31"/>
          <w:szCs w:val="31"/>
          <w:u w:val="none"/>
          <w:lang w:val="en-US" w:eastAsia="zh-CN" w:bidi="ar"/>
        </w:rPr>
        <w:t>13. 完善高技能人才多元化评价机制</w:t>
      </w:r>
      <w:r>
        <w:rPr>
          <w:rFonts w:hint="eastAsia" w:ascii="仿宋_GB2312" w:hAnsi="宋体" w:eastAsia="仿宋_GB2312" w:cs="仿宋_GB2312"/>
          <w:color w:val="000000"/>
          <w:kern w:val="0"/>
          <w:sz w:val="31"/>
          <w:szCs w:val="31"/>
          <w:u w:val="none"/>
          <w:lang w:val="en-US" w:eastAsia="zh-CN" w:bidi="ar"/>
        </w:rPr>
        <w:t>。</w:t>
      </w:r>
      <w:r>
        <w:rPr>
          <w:rFonts w:hint="eastAsia" w:ascii="仿宋_GB2312" w:hAnsi="宋体" w:eastAsia="仿宋_GB2312" w:cs="仿宋_GB2312"/>
          <w:color w:val="000000"/>
          <w:kern w:val="0"/>
          <w:sz w:val="31"/>
          <w:szCs w:val="31"/>
          <w:u w:val="none"/>
          <w:lang w:val="en-US" w:eastAsia="zh-CN" w:bidi="ar"/>
        </w:rPr>
        <w:t>全面推行职业技能等级认定，健全技能评价与产业发展、就业需求适配机制，加快完善以用人单位为主、第三方院校评价机构为辅、第三方社会评价机构为补充的职业技能等级认定格局，2030年全市评价机构达到40家</w:t>
      </w:r>
      <w:r>
        <w:rPr>
          <w:rFonts w:hint="eastAsia" w:ascii="仿宋_GB2312" w:hAnsi="宋体" w:eastAsia="仿宋_GB2312" w:cs="仿宋_GB2312"/>
          <w:color w:val="000000"/>
          <w:kern w:val="0"/>
          <w:sz w:val="31"/>
          <w:szCs w:val="31"/>
          <w:u w:val="none"/>
          <w:lang w:val="en-US" w:eastAsia="zh-CN" w:bidi="ar"/>
        </w:rPr>
        <w:t>。全面实施“新八级工”制度，扩大企业备案开展特级技师、首席技师评聘范围。健全企业“特才特评”机制，对符合条件的劳动者可直接认定为高级工以上技能等级。推动职业资格、职业技能级与相应职称、学历双向比照认定。畅通高技能人才向专业技术岗位或管理岗位流动渠道，推动在更多领域实现技术技能人才融合发展。强化评价日常监管、社会监督和行业自律，持续推开市级技能人才评价机考监管系统，加强从业人员队伍能力和质量监管体系建设。（牵头单位：市人社局）</w:t>
      </w:r>
    </w:p>
    <w:p w14:paraId="0BDEBAF2">
      <w:pPr>
        <w:keepNext w:val="0"/>
        <w:keepLines w:val="0"/>
        <w:pageBreakBefore w:val="0"/>
        <w:widowControl/>
        <w:suppressLineNumbers w:val="0"/>
        <w:kinsoku/>
        <w:wordWrap/>
        <w:overflowPunct/>
        <w:topLinePunct w:val="0"/>
        <w:autoSpaceDE/>
        <w:autoSpaceDN/>
        <w:bidi w:val="0"/>
        <w:adjustRightInd/>
        <w:snapToGrid/>
        <w:spacing w:line="579" w:lineRule="exact"/>
        <w:ind w:firstLine="622" w:firstLineChars="200"/>
        <w:jc w:val="left"/>
        <w:textAlignment w:val="auto"/>
        <w:rPr>
          <w:rFonts w:hint="eastAsia" w:ascii="仿宋_GB2312" w:hAnsi="宋体" w:eastAsia="仿宋_GB2312" w:cs="仿宋_GB2312"/>
          <w:color w:val="000000"/>
          <w:kern w:val="0"/>
          <w:sz w:val="31"/>
          <w:szCs w:val="31"/>
          <w:u w:val="none"/>
          <w:lang w:val="en-US" w:eastAsia="zh-CN" w:bidi="ar"/>
        </w:rPr>
      </w:pPr>
      <w:r>
        <w:rPr>
          <w:rFonts w:hint="eastAsia" w:ascii="仿宋_GB2312" w:hAnsi="宋体" w:eastAsia="仿宋_GB2312" w:cs="仿宋_GB2312"/>
          <w:b/>
          <w:bCs/>
          <w:color w:val="000000"/>
          <w:kern w:val="0"/>
          <w:sz w:val="31"/>
          <w:szCs w:val="31"/>
          <w:u w:val="none"/>
          <w:lang w:val="en-US" w:eastAsia="zh-CN" w:bidi="ar"/>
        </w:rPr>
        <w:t>14. 健全高技能人才岗位使用机制</w:t>
      </w:r>
      <w:r>
        <w:rPr>
          <w:rFonts w:hint="eastAsia" w:ascii="仿宋_GB2312" w:hAnsi="宋体" w:eastAsia="仿宋_GB2312" w:cs="仿宋_GB2312"/>
          <w:color w:val="000000"/>
          <w:kern w:val="0"/>
          <w:sz w:val="31"/>
          <w:szCs w:val="31"/>
          <w:u w:val="none"/>
          <w:lang w:val="en-US" w:eastAsia="zh-CN" w:bidi="ar"/>
        </w:rPr>
        <w:t>。在技能人才集聚的区域、行业开展工资集体协商，合理确定技能人才最低工资。发挥国有企业示范引领作用，健全国有企业基于岗位价值、能力素质、创新创造、业绩贡献的技能人才薪酬分配制度。鼓励企业建立高技能领军人才“揭榜领题”机制，开展项目技术攻关并给予一定支持。聘用到特级技师岗位的人员，比照正高级职称人员享受待遇，首席技师薪酬待遇可参照本单位高级管理人员标准确定或根据实际确定，不低于特级技师薪酬待遇。对企业贡献大的高级技师以上人员可参照高级管理人员标准确定待遇。对高技能领军人才、大国工匠，企业可结合实际实行特岗特酬。扩围实施企业技能人才年金制度。</w:t>
      </w:r>
      <w:r>
        <w:rPr>
          <w:rFonts w:hint="eastAsia" w:ascii="仿宋_GB2312" w:hAnsi="宋体" w:eastAsia="仿宋_GB2312" w:cs="仿宋_GB2312"/>
          <w:color w:val="000000"/>
          <w:kern w:val="0"/>
          <w:sz w:val="31"/>
          <w:szCs w:val="31"/>
          <w:u w:val="none"/>
          <w:lang w:val="en-US" w:eastAsia="zh-CN" w:bidi="ar"/>
        </w:rPr>
        <w:t>引导企业设立技能津贴、班组长津贴、带徒津贴等，支持鼓励高技能人才在岗位上发挥技能、管理班组、带徒传技的作用</w:t>
      </w:r>
      <w:r>
        <w:rPr>
          <w:rFonts w:hint="eastAsia" w:ascii="仿宋_GB2312" w:hAnsi="宋体" w:eastAsia="仿宋_GB2312" w:cs="仿宋_GB2312"/>
          <w:color w:val="000000"/>
          <w:kern w:val="0"/>
          <w:sz w:val="31"/>
          <w:szCs w:val="31"/>
          <w:u w:val="none"/>
          <w:lang w:val="en-US" w:eastAsia="zh-CN" w:bidi="ar"/>
        </w:rPr>
        <w:t>。</w:t>
      </w:r>
      <w:r>
        <w:rPr>
          <w:rFonts w:hint="eastAsia" w:ascii="仿宋_GB2312" w:hAnsi="宋体" w:eastAsia="仿宋_GB2312" w:cs="仿宋_GB2312"/>
          <w:color w:val="000000"/>
          <w:kern w:val="0"/>
          <w:sz w:val="31"/>
          <w:szCs w:val="31"/>
          <w:u w:val="none"/>
          <w:lang w:val="en-US" w:eastAsia="zh-CN" w:bidi="ar"/>
        </w:rPr>
        <w:t>鼓励县（区）向高技能人才发放岗位补助或其他补助。</w:t>
      </w:r>
      <w:r>
        <w:rPr>
          <w:rFonts w:hint="eastAsia" w:ascii="仿宋_GB2312" w:hAnsi="宋体" w:eastAsia="仿宋_GB2312" w:cs="仿宋_GB2312"/>
          <w:color w:val="000000"/>
          <w:kern w:val="0"/>
          <w:sz w:val="31"/>
          <w:szCs w:val="31"/>
          <w:u w:val="none"/>
          <w:lang w:val="en-US" w:eastAsia="zh-CN" w:bidi="ar"/>
        </w:rPr>
        <w:t>（牵头单位：市人社局、市工信局、市财政局）</w:t>
      </w:r>
    </w:p>
    <w:p w14:paraId="7F9EE1CF">
      <w:pPr>
        <w:keepNext w:val="0"/>
        <w:keepLines w:val="0"/>
        <w:pageBreakBefore w:val="0"/>
        <w:widowControl/>
        <w:suppressLineNumbers w:val="0"/>
        <w:kinsoku/>
        <w:wordWrap/>
        <w:overflowPunct/>
        <w:topLinePunct w:val="0"/>
        <w:autoSpaceDE/>
        <w:autoSpaceDN/>
        <w:bidi w:val="0"/>
        <w:adjustRightInd/>
        <w:snapToGrid/>
        <w:spacing w:line="579" w:lineRule="exact"/>
        <w:ind w:firstLine="622" w:firstLineChars="200"/>
        <w:jc w:val="left"/>
        <w:textAlignment w:val="auto"/>
        <w:rPr>
          <w:rFonts w:hint="eastAsia" w:ascii="仿宋_GB2312" w:hAnsi="宋体" w:eastAsia="仿宋_GB2312" w:cs="仿宋_GB2312"/>
          <w:color w:val="000000"/>
          <w:kern w:val="0"/>
          <w:sz w:val="31"/>
          <w:szCs w:val="31"/>
          <w:u w:val="none"/>
          <w:lang w:val="en-US" w:eastAsia="zh-CN" w:bidi="ar"/>
        </w:rPr>
      </w:pPr>
      <w:r>
        <w:rPr>
          <w:rFonts w:hint="eastAsia" w:ascii="仿宋_GB2312" w:hAnsi="宋体" w:eastAsia="仿宋_GB2312" w:cs="仿宋_GB2312"/>
          <w:b/>
          <w:bCs/>
          <w:color w:val="000000"/>
          <w:kern w:val="0"/>
          <w:sz w:val="31"/>
          <w:szCs w:val="31"/>
          <w:u w:val="none"/>
          <w:lang w:val="en-US" w:eastAsia="zh-CN" w:bidi="ar"/>
        </w:rPr>
        <w:t>15. 构建职业技能竞赛体系</w:t>
      </w:r>
      <w:r>
        <w:rPr>
          <w:rFonts w:hint="eastAsia" w:ascii="仿宋_GB2312" w:hAnsi="宋体" w:eastAsia="仿宋_GB2312" w:cs="仿宋_GB2312"/>
          <w:color w:val="000000"/>
          <w:kern w:val="0"/>
          <w:sz w:val="31"/>
          <w:szCs w:val="31"/>
          <w:u w:val="none"/>
          <w:lang w:val="en-US" w:eastAsia="zh-CN" w:bidi="ar"/>
        </w:rPr>
        <w:t>。</w:t>
      </w:r>
      <w:r>
        <w:rPr>
          <w:rFonts w:hint="eastAsia" w:ascii="仿宋_GB2312" w:hAnsi="宋体" w:eastAsia="仿宋_GB2312" w:cs="仿宋_GB2312"/>
          <w:color w:val="000000"/>
          <w:kern w:val="0"/>
          <w:sz w:val="31"/>
          <w:szCs w:val="31"/>
          <w:u w:val="none"/>
          <w:lang w:val="en-US" w:eastAsia="zh-CN" w:bidi="ar"/>
        </w:rPr>
        <w:t>加大职业技能竞赛投入力度，修订《淮南市职业技能竞赛管理办法》，将职业技能竞赛经费纳入同级财政预算保障范围。</w:t>
      </w:r>
      <w:r>
        <w:rPr>
          <w:rFonts w:hint="eastAsia" w:ascii="仿宋_GB2312" w:hAnsi="宋体" w:eastAsia="仿宋_GB2312" w:cs="仿宋_GB2312"/>
          <w:color w:val="000000"/>
          <w:kern w:val="0"/>
          <w:sz w:val="31"/>
          <w:szCs w:val="31"/>
          <w:u w:val="none"/>
          <w:lang w:val="en-US" w:eastAsia="zh-CN" w:bidi="ar"/>
        </w:rPr>
        <w:t>鼓励市场化办赛，每两年举办一届全市性综合职业技能大赛，每年支持举办若干项行业技能竞赛、专项技能竞赛和企业职工劳动和技能竞赛，积极参与省级、区域级、国家级、世界级赛事，按规定设立市级集训基地，开展参赛选手集训并给予集训补助，给予获奖选手一次性奖金奖励，兑现获奖选手职业技能等级晋升待遇。</w:t>
      </w:r>
      <w:r>
        <w:rPr>
          <w:rFonts w:hint="eastAsia" w:ascii="仿宋_GB2312" w:hAnsi="宋体" w:eastAsia="仿宋_GB2312" w:cs="仿宋_GB2312"/>
          <w:color w:val="000000"/>
          <w:kern w:val="0"/>
          <w:sz w:val="31"/>
          <w:szCs w:val="31"/>
          <w:u w:val="none"/>
          <w:lang w:val="en-US" w:eastAsia="zh-CN" w:bidi="ar"/>
        </w:rPr>
        <w:t>（牵头单位：市人社局；配合单位：市教体局、市总工会、市财政局）</w:t>
      </w:r>
    </w:p>
    <w:p w14:paraId="1D279B97">
      <w:pPr>
        <w:keepNext w:val="0"/>
        <w:keepLines w:val="0"/>
        <w:pageBreakBefore w:val="0"/>
        <w:widowControl/>
        <w:suppressLineNumbers w:val="0"/>
        <w:kinsoku/>
        <w:wordWrap/>
        <w:overflowPunct/>
        <w:topLinePunct w:val="0"/>
        <w:autoSpaceDE/>
        <w:autoSpaceDN/>
        <w:bidi w:val="0"/>
        <w:adjustRightInd/>
        <w:snapToGrid/>
        <w:spacing w:line="579" w:lineRule="exact"/>
        <w:ind w:firstLine="622" w:firstLineChars="200"/>
        <w:jc w:val="left"/>
        <w:textAlignment w:val="auto"/>
        <w:rPr>
          <w:rFonts w:hint="eastAsia" w:ascii="楷体_GB2312" w:hAnsi="楷体_GB2312" w:eastAsia="楷体_GB2312" w:cs="楷体_GB2312"/>
          <w:b/>
          <w:bCs/>
          <w:color w:val="000000"/>
          <w:kern w:val="0"/>
          <w:sz w:val="31"/>
          <w:szCs w:val="31"/>
          <w:u w:val="none"/>
          <w:lang w:val="en-US" w:eastAsia="zh-CN" w:bidi="ar"/>
        </w:rPr>
      </w:pPr>
      <w:r>
        <w:rPr>
          <w:rFonts w:hint="eastAsia" w:ascii="楷体_GB2312" w:hAnsi="楷体_GB2312" w:eastAsia="楷体_GB2312" w:cs="楷体_GB2312"/>
          <w:b/>
          <w:bCs/>
          <w:color w:val="000000"/>
          <w:kern w:val="0"/>
          <w:sz w:val="31"/>
          <w:szCs w:val="31"/>
          <w:u w:val="none"/>
          <w:lang w:val="en-US" w:eastAsia="zh-CN" w:bidi="ar"/>
        </w:rPr>
        <w:t>（五）技能人才发展环境提级行动。</w:t>
      </w:r>
    </w:p>
    <w:p w14:paraId="6E493FC0">
      <w:pPr>
        <w:keepNext w:val="0"/>
        <w:keepLines w:val="0"/>
        <w:pageBreakBefore w:val="0"/>
        <w:widowControl/>
        <w:suppressLineNumbers w:val="0"/>
        <w:kinsoku/>
        <w:wordWrap/>
        <w:overflowPunct/>
        <w:topLinePunct w:val="0"/>
        <w:autoSpaceDE/>
        <w:autoSpaceDN/>
        <w:bidi w:val="0"/>
        <w:adjustRightInd/>
        <w:snapToGrid/>
        <w:spacing w:line="579" w:lineRule="exact"/>
        <w:ind w:firstLine="622" w:firstLineChars="200"/>
        <w:jc w:val="left"/>
        <w:textAlignment w:val="auto"/>
        <w:rPr>
          <w:rFonts w:hint="eastAsia" w:ascii="仿宋_GB2312" w:hAnsi="宋体" w:eastAsia="仿宋_GB2312" w:cs="仿宋_GB2312"/>
          <w:color w:val="000000"/>
          <w:kern w:val="0"/>
          <w:sz w:val="31"/>
          <w:szCs w:val="31"/>
          <w:u w:val="none"/>
          <w:lang w:val="en-US" w:eastAsia="zh-CN" w:bidi="ar"/>
        </w:rPr>
      </w:pPr>
      <w:r>
        <w:rPr>
          <w:rFonts w:hint="eastAsia" w:ascii="仿宋_GB2312" w:hAnsi="宋体" w:eastAsia="仿宋_GB2312" w:cs="仿宋_GB2312"/>
          <w:b/>
          <w:bCs/>
          <w:color w:val="000000"/>
          <w:kern w:val="0"/>
          <w:sz w:val="31"/>
          <w:szCs w:val="31"/>
          <w:u w:val="none"/>
          <w:lang w:val="en-US" w:eastAsia="zh-CN" w:bidi="ar"/>
        </w:rPr>
        <w:t>16. 加强技能人才识育引留</w:t>
      </w:r>
      <w:r>
        <w:rPr>
          <w:rFonts w:hint="eastAsia" w:ascii="仿宋_GB2312" w:hAnsi="宋体" w:eastAsia="仿宋_GB2312" w:cs="仿宋_GB2312"/>
          <w:color w:val="000000"/>
          <w:kern w:val="0"/>
          <w:sz w:val="31"/>
          <w:szCs w:val="31"/>
          <w:u w:val="none"/>
          <w:lang w:val="en-US" w:eastAsia="zh-CN" w:bidi="ar"/>
        </w:rPr>
        <w:t>。</w:t>
      </w:r>
      <w:r>
        <w:rPr>
          <w:rFonts w:hint="eastAsia" w:ascii="仿宋_GB2312" w:hAnsi="宋体" w:eastAsia="仿宋_GB2312" w:cs="仿宋_GB2312"/>
          <w:color w:val="000000"/>
          <w:kern w:val="0"/>
          <w:sz w:val="31"/>
          <w:szCs w:val="31"/>
          <w:u w:val="none"/>
          <w:lang w:val="en-US" w:eastAsia="zh-CN" w:bidi="ar"/>
        </w:rPr>
        <w:t>积极探索技能人才识育引留新举措，及时修订制造业强市用工保障激励办法，发挥乡镇街道、院校、企业等各类载体作用，按标准给予技能人才招引奖励，吸引各类技能人才留淮工作</w:t>
      </w:r>
      <w:r>
        <w:rPr>
          <w:rFonts w:hint="eastAsia" w:ascii="仿宋_GB2312" w:hAnsi="宋体" w:eastAsia="仿宋_GB2312" w:cs="仿宋_GB2312"/>
          <w:color w:val="000000"/>
          <w:kern w:val="0"/>
          <w:sz w:val="31"/>
          <w:szCs w:val="31"/>
          <w:u w:val="none"/>
          <w:lang w:val="en-US" w:eastAsia="zh-CN" w:bidi="ar"/>
        </w:rPr>
        <w:t>。</w:t>
      </w:r>
      <w:r>
        <w:rPr>
          <w:rFonts w:hint="eastAsia" w:ascii="仿宋_GB2312" w:hAnsi="宋体" w:eastAsia="仿宋_GB2312" w:cs="仿宋_GB2312"/>
          <w:color w:val="000000"/>
          <w:kern w:val="0"/>
          <w:sz w:val="31"/>
          <w:szCs w:val="31"/>
          <w:u w:val="none"/>
          <w:lang w:val="en-US" w:eastAsia="zh-CN" w:bidi="ar"/>
        </w:rPr>
        <w:t>以赛为媒，深化长三角一体化、合淮同城化技能人才交流合作。持续与上海闵行、合肥等地开展多层次技能交流，通过联合举办劳动和职业技能竞赛，实现资源共享、标准互鉴、人才共进</w:t>
      </w:r>
      <w:r>
        <w:rPr>
          <w:rFonts w:hint="eastAsia" w:ascii="仿宋_GB2312" w:hAnsi="宋体" w:eastAsia="仿宋_GB2312" w:cs="仿宋_GB2312"/>
          <w:color w:val="000000"/>
          <w:kern w:val="0"/>
          <w:sz w:val="31"/>
          <w:szCs w:val="31"/>
          <w:u w:val="none"/>
          <w:lang w:val="en-US" w:eastAsia="zh-CN" w:bidi="ar"/>
        </w:rPr>
        <w:t>。（牵头单位：市人社局、市教体局、市总工会；配合单位：市财政局）</w:t>
      </w:r>
    </w:p>
    <w:p w14:paraId="308BA5F5">
      <w:pPr>
        <w:keepNext w:val="0"/>
        <w:keepLines w:val="0"/>
        <w:pageBreakBefore w:val="0"/>
        <w:widowControl/>
        <w:suppressLineNumbers w:val="0"/>
        <w:kinsoku/>
        <w:wordWrap/>
        <w:overflowPunct/>
        <w:topLinePunct w:val="0"/>
        <w:autoSpaceDE/>
        <w:autoSpaceDN/>
        <w:bidi w:val="0"/>
        <w:adjustRightInd/>
        <w:snapToGrid/>
        <w:spacing w:line="579" w:lineRule="exact"/>
        <w:ind w:firstLine="622" w:firstLineChars="200"/>
        <w:jc w:val="left"/>
        <w:textAlignment w:val="auto"/>
        <w:rPr>
          <w:rFonts w:hint="eastAsia" w:ascii="仿宋_GB2312" w:hAnsi="宋体" w:eastAsia="仿宋_GB2312" w:cs="仿宋_GB2312"/>
          <w:color w:val="000000"/>
          <w:kern w:val="0"/>
          <w:sz w:val="31"/>
          <w:szCs w:val="31"/>
          <w:u w:val="none"/>
          <w:lang w:val="en-US" w:eastAsia="zh-CN" w:bidi="ar"/>
        </w:rPr>
      </w:pPr>
      <w:r>
        <w:rPr>
          <w:rFonts w:hint="eastAsia" w:ascii="仿宋_GB2312" w:hAnsi="宋体" w:eastAsia="仿宋_GB2312" w:cs="仿宋_GB2312"/>
          <w:b/>
          <w:bCs/>
          <w:color w:val="000000"/>
          <w:kern w:val="0"/>
          <w:sz w:val="31"/>
          <w:szCs w:val="31"/>
          <w:u w:val="none"/>
          <w:lang w:val="en-US" w:eastAsia="zh-CN" w:bidi="ar"/>
        </w:rPr>
        <w:t>17. 建设技能友好型企业</w:t>
      </w:r>
      <w:r>
        <w:rPr>
          <w:rFonts w:hint="eastAsia" w:ascii="仿宋_GB2312" w:hAnsi="宋体" w:eastAsia="仿宋_GB2312" w:cs="仿宋_GB2312"/>
          <w:color w:val="000000"/>
          <w:kern w:val="0"/>
          <w:sz w:val="31"/>
          <w:szCs w:val="31"/>
          <w:u w:val="none"/>
          <w:lang w:val="en-US" w:eastAsia="zh-CN" w:bidi="ar"/>
        </w:rPr>
        <w:t>。建设一批有一定用工规模、技能激励作用发挥明显、产教融合紧密的技能友好型企业，按规定予以表扬通报和相应政策支持。推动国资管理部门对国有制造业企业高技能人才培养成效显著的予以适度激励，发改、工信、住建等部门将高技能人才配置状况作为生产经营性企业及其他实体参加重大工程项目招投标、资质评估和评优的重要因素。（牵头单位：市人社局；配合单位：市发改委、市工信局、市住建局、市财政局、市工商联、市公管局）</w:t>
      </w:r>
    </w:p>
    <w:p w14:paraId="4F7062C5">
      <w:pPr>
        <w:keepNext w:val="0"/>
        <w:keepLines w:val="0"/>
        <w:pageBreakBefore w:val="0"/>
        <w:widowControl/>
        <w:suppressLineNumbers w:val="0"/>
        <w:kinsoku/>
        <w:wordWrap/>
        <w:overflowPunct/>
        <w:topLinePunct w:val="0"/>
        <w:autoSpaceDE/>
        <w:autoSpaceDN/>
        <w:bidi w:val="0"/>
        <w:adjustRightInd/>
        <w:snapToGrid/>
        <w:spacing w:line="579" w:lineRule="exact"/>
        <w:ind w:firstLine="622" w:firstLineChars="200"/>
        <w:jc w:val="left"/>
        <w:textAlignment w:val="auto"/>
        <w:rPr>
          <w:rFonts w:hint="eastAsia" w:ascii="仿宋_GB2312" w:hAnsi="宋体" w:eastAsia="仿宋_GB2312" w:cs="仿宋_GB2312"/>
          <w:color w:val="000000"/>
          <w:kern w:val="0"/>
          <w:sz w:val="31"/>
          <w:szCs w:val="31"/>
          <w:u w:val="none"/>
          <w:lang w:val="en-US" w:eastAsia="zh-CN" w:bidi="ar"/>
        </w:rPr>
      </w:pPr>
      <w:r>
        <w:rPr>
          <w:rFonts w:hint="eastAsia" w:ascii="仿宋_GB2312" w:hAnsi="宋体" w:eastAsia="仿宋_GB2312" w:cs="仿宋_GB2312"/>
          <w:b/>
          <w:bCs/>
          <w:color w:val="000000"/>
          <w:kern w:val="0"/>
          <w:sz w:val="31"/>
          <w:szCs w:val="31"/>
          <w:u w:val="none"/>
          <w:lang w:val="en-US" w:eastAsia="zh-CN" w:bidi="ar"/>
        </w:rPr>
        <w:t>18. 优化高技能人才服务</w:t>
      </w:r>
      <w:r>
        <w:rPr>
          <w:rFonts w:hint="eastAsia" w:ascii="仿宋_GB2312" w:hAnsi="宋体" w:eastAsia="仿宋_GB2312" w:cs="仿宋_GB2312"/>
          <w:color w:val="000000"/>
          <w:kern w:val="0"/>
          <w:sz w:val="31"/>
          <w:szCs w:val="31"/>
          <w:u w:val="none"/>
          <w:lang w:val="en-US" w:eastAsia="zh-CN" w:bidi="ar"/>
        </w:rPr>
        <w:t>。优化</w:t>
      </w:r>
      <w:r>
        <w:rPr>
          <w:rFonts w:hint="eastAsia" w:ascii="仿宋_GB2312" w:hAnsi="宋体" w:eastAsia="仿宋_GB2312" w:cs="仿宋_GB2312"/>
          <w:color w:val="000000"/>
          <w:kern w:val="0"/>
          <w:sz w:val="31"/>
          <w:szCs w:val="31"/>
          <w:u w:val="none"/>
          <w:lang w:val="en-US" w:eastAsia="zh-CN" w:bidi="ar"/>
        </w:rPr>
        <w:t>高技能人才服务机制，帮助解决实际问题。</w:t>
      </w:r>
      <w:r>
        <w:rPr>
          <w:rFonts w:ascii="仿宋_GB2312" w:hAnsi="宋体" w:eastAsia="仿宋_GB2312" w:cs="仿宋_GB2312"/>
          <w:color w:val="000000"/>
          <w:kern w:val="0"/>
          <w:sz w:val="31"/>
          <w:szCs w:val="31"/>
          <w:u w:val="none"/>
          <w:lang w:val="en-US" w:eastAsia="zh-CN" w:bidi="ar"/>
        </w:rPr>
        <w:t>对企业新引进的技师以上</w:t>
      </w:r>
      <w:r>
        <w:rPr>
          <w:rFonts w:hint="eastAsia" w:ascii="仿宋_GB2312" w:hAnsi="宋体" w:eastAsia="仿宋_GB2312" w:cs="仿宋_GB2312"/>
          <w:color w:val="000000"/>
          <w:kern w:val="0"/>
          <w:sz w:val="31"/>
          <w:szCs w:val="31"/>
          <w:u w:val="none"/>
          <w:lang w:val="en-US" w:eastAsia="zh-CN" w:bidi="ar"/>
        </w:rPr>
        <w:t>技能等级人才，由企业所在县区（园区）提供三年免费人才公寓保障。无法提供人才公寓保障的或人才因特殊情况选择自主租房的，按照高级工400元/月，技师</w:t>
      </w:r>
      <w:r>
        <w:rPr>
          <w:rFonts w:ascii="仿宋_GB2312" w:hAnsi="宋体" w:eastAsia="仿宋_GB2312" w:cs="仿宋_GB2312"/>
          <w:color w:val="000000"/>
          <w:kern w:val="0"/>
          <w:sz w:val="31"/>
          <w:szCs w:val="31"/>
          <w:u w:val="none"/>
          <w:lang w:val="en-US" w:eastAsia="zh-CN" w:bidi="ar"/>
        </w:rPr>
        <w:t xml:space="preserve"> </w:t>
      </w:r>
      <w:r>
        <w:rPr>
          <w:rFonts w:hint="default" w:ascii="仿宋_GB2312" w:hAnsi="宋体" w:eastAsia="仿宋_GB2312" w:cs="仿宋_GB2312"/>
          <w:color w:val="000000"/>
          <w:kern w:val="0"/>
          <w:sz w:val="31"/>
          <w:szCs w:val="31"/>
          <w:u w:val="none"/>
          <w:lang w:val="en-US" w:eastAsia="zh-CN" w:bidi="ar"/>
        </w:rPr>
        <w:t xml:space="preserve">600 </w:t>
      </w:r>
      <w:r>
        <w:rPr>
          <w:rFonts w:hint="eastAsia" w:ascii="仿宋_GB2312" w:hAnsi="宋体" w:eastAsia="仿宋_GB2312" w:cs="仿宋_GB2312"/>
          <w:color w:val="000000"/>
          <w:kern w:val="0"/>
          <w:sz w:val="31"/>
          <w:szCs w:val="31"/>
          <w:u w:val="none"/>
          <w:lang w:val="en-US" w:eastAsia="zh-CN" w:bidi="ar"/>
        </w:rPr>
        <w:t>元</w:t>
      </w:r>
      <w:r>
        <w:rPr>
          <w:rFonts w:hint="default" w:ascii="仿宋_GB2312" w:hAnsi="宋体" w:eastAsia="仿宋_GB2312" w:cs="仿宋_GB2312"/>
          <w:color w:val="000000"/>
          <w:kern w:val="0"/>
          <w:sz w:val="31"/>
          <w:szCs w:val="31"/>
          <w:u w:val="none"/>
          <w:lang w:val="en-US" w:eastAsia="zh-CN" w:bidi="ar"/>
        </w:rPr>
        <w:t>/</w:t>
      </w:r>
      <w:r>
        <w:rPr>
          <w:rFonts w:hint="eastAsia" w:ascii="仿宋_GB2312" w:hAnsi="宋体" w:eastAsia="仿宋_GB2312" w:cs="仿宋_GB2312"/>
          <w:color w:val="000000"/>
          <w:kern w:val="0"/>
          <w:sz w:val="31"/>
          <w:szCs w:val="31"/>
          <w:u w:val="none"/>
          <w:lang w:val="en-US" w:eastAsia="zh-CN" w:bidi="ar"/>
        </w:rPr>
        <w:t>月、高级技师</w:t>
      </w:r>
      <w:r>
        <w:rPr>
          <w:rFonts w:hint="default" w:ascii="仿宋_GB2312" w:hAnsi="宋体" w:eastAsia="仿宋_GB2312" w:cs="仿宋_GB2312"/>
          <w:color w:val="000000"/>
          <w:kern w:val="0"/>
          <w:sz w:val="31"/>
          <w:szCs w:val="31"/>
          <w:u w:val="none"/>
          <w:lang w:val="en-US" w:eastAsia="zh-CN" w:bidi="ar"/>
        </w:rPr>
        <w:t xml:space="preserve">800 </w:t>
      </w:r>
      <w:r>
        <w:rPr>
          <w:rFonts w:ascii="仿宋_GB2312" w:hAnsi="宋体" w:eastAsia="仿宋_GB2312" w:cs="仿宋_GB2312"/>
          <w:color w:val="000000"/>
          <w:kern w:val="0"/>
          <w:sz w:val="31"/>
          <w:szCs w:val="31"/>
          <w:u w:val="none"/>
          <w:lang w:val="en-US" w:eastAsia="zh-CN" w:bidi="ar"/>
        </w:rPr>
        <w:t>元</w:t>
      </w:r>
      <w:r>
        <w:rPr>
          <w:rFonts w:hint="default" w:ascii="仿宋_GB2312" w:hAnsi="宋体" w:eastAsia="仿宋_GB2312" w:cs="仿宋_GB2312"/>
          <w:color w:val="000000"/>
          <w:kern w:val="0"/>
          <w:sz w:val="31"/>
          <w:szCs w:val="31"/>
          <w:u w:val="none"/>
          <w:lang w:val="en-US" w:eastAsia="zh-CN" w:bidi="ar"/>
        </w:rPr>
        <w:t>/</w:t>
      </w:r>
      <w:r>
        <w:rPr>
          <w:rFonts w:hint="eastAsia" w:ascii="仿宋_GB2312" w:hAnsi="宋体" w:eastAsia="仿宋_GB2312" w:cs="仿宋_GB2312"/>
          <w:color w:val="000000"/>
          <w:kern w:val="0"/>
          <w:sz w:val="31"/>
          <w:szCs w:val="31"/>
          <w:u w:val="none"/>
          <w:lang w:val="en-US" w:eastAsia="zh-CN" w:bidi="ar"/>
        </w:rPr>
        <w:t>月标准发放租房补贴。</w:t>
      </w:r>
      <w:r>
        <w:rPr>
          <w:rFonts w:ascii="仿宋_GB2312" w:hAnsi="宋体" w:eastAsia="仿宋_GB2312" w:cs="仿宋_GB2312"/>
          <w:color w:val="000000"/>
          <w:kern w:val="0"/>
          <w:sz w:val="31"/>
          <w:szCs w:val="31"/>
          <w:u w:val="none"/>
          <w:lang w:val="en-US" w:eastAsia="zh-CN" w:bidi="ar"/>
        </w:rPr>
        <w:t>为企业新全职引进的</w:t>
      </w:r>
      <w:r>
        <w:rPr>
          <w:rFonts w:hint="eastAsia" w:ascii="仿宋_GB2312" w:hAnsi="宋体" w:eastAsia="仿宋_GB2312" w:cs="仿宋_GB2312"/>
          <w:color w:val="000000"/>
          <w:kern w:val="0"/>
          <w:sz w:val="31"/>
          <w:szCs w:val="31"/>
          <w:u w:val="none"/>
          <w:lang w:val="en-US" w:eastAsia="zh-CN" w:bidi="ar"/>
        </w:rPr>
        <w:t>技师及以上技能等级的优秀人才，依托电子社保卡，一卡通享淮南市域景区门票折扣、博物馆等文化场所免预约、乘坐公交限次免费等生活服务。鼓励支持分级开展高技能人才休假疗养、研修交流和节日慰问等活动。</w:t>
      </w:r>
      <w:r>
        <w:rPr>
          <w:rFonts w:hint="eastAsia" w:ascii="仿宋_GB2312" w:hAnsi="宋体" w:eastAsia="仿宋_GB2312" w:cs="仿宋_GB2312"/>
          <w:color w:val="000000"/>
          <w:kern w:val="0"/>
          <w:sz w:val="31"/>
          <w:szCs w:val="31"/>
          <w:u w:val="none"/>
          <w:lang w:val="en-US" w:eastAsia="zh-CN" w:bidi="ar"/>
        </w:rPr>
        <w:t>（牵头单位：市委人才工作局；配合单位：市人社局、市住建局、市教体局等）</w:t>
      </w:r>
    </w:p>
    <w:p w14:paraId="6D1FE1C7">
      <w:pPr>
        <w:keepNext w:val="0"/>
        <w:keepLines w:val="0"/>
        <w:pageBreakBefore w:val="0"/>
        <w:widowControl/>
        <w:suppressLineNumbers w:val="0"/>
        <w:kinsoku/>
        <w:wordWrap/>
        <w:overflowPunct/>
        <w:topLinePunct w:val="0"/>
        <w:autoSpaceDE/>
        <w:autoSpaceDN/>
        <w:bidi w:val="0"/>
        <w:adjustRightInd/>
        <w:snapToGrid/>
        <w:spacing w:line="579" w:lineRule="exact"/>
        <w:ind w:firstLine="620" w:firstLineChars="200"/>
        <w:jc w:val="left"/>
        <w:textAlignment w:val="auto"/>
        <w:rPr>
          <w:rFonts w:hint="eastAsia" w:ascii="黑体" w:hAnsi="黑体" w:eastAsia="黑体" w:cs="黑体"/>
          <w:color w:val="000000"/>
          <w:kern w:val="0"/>
          <w:sz w:val="31"/>
          <w:szCs w:val="31"/>
          <w:u w:val="none"/>
          <w:lang w:val="en-US" w:eastAsia="zh-CN" w:bidi="ar"/>
        </w:rPr>
      </w:pPr>
      <w:r>
        <w:rPr>
          <w:rFonts w:hint="eastAsia" w:ascii="黑体" w:hAnsi="黑体" w:eastAsia="黑体" w:cs="黑体"/>
          <w:color w:val="000000"/>
          <w:kern w:val="0"/>
          <w:sz w:val="31"/>
          <w:szCs w:val="31"/>
          <w:u w:val="none"/>
          <w:lang w:val="en-US" w:eastAsia="zh-CN" w:bidi="ar"/>
        </w:rPr>
        <w:t>三、组织保障</w:t>
      </w:r>
    </w:p>
    <w:p w14:paraId="116360F0">
      <w:pPr>
        <w:keepNext w:val="0"/>
        <w:keepLines w:val="0"/>
        <w:pageBreakBefore w:val="0"/>
        <w:widowControl/>
        <w:suppressLineNumbers w:val="0"/>
        <w:kinsoku/>
        <w:wordWrap/>
        <w:overflowPunct/>
        <w:topLinePunct w:val="0"/>
        <w:autoSpaceDE/>
        <w:autoSpaceDN/>
        <w:bidi w:val="0"/>
        <w:adjustRightInd/>
        <w:snapToGrid/>
        <w:spacing w:line="579" w:lineRule="exact"/>
        <w:ind w:firstLine="620" w:firstLineChars="200"/>
        <w:jc w:val="left"/>
        <w:textAlignment w:val="auto"/>
        <w:rPr>
          <w:rFonts w:hint="eastAsia" w:ascii="仿宋_GB2312" w:hAnsi="宋体" w:eastAsia="仿宋_GB2312" w:cs="仿宋_GB2312"/>
          <w:color w:val="000000"/>
          <w:kern w:val="0"/>
          <w:sz w:val="31"/>
          <w:szCs w:val="31"/>
          <w:u w:val="none"/>
          <w:lang w:val="en-US" w:eastAsia="zh-CN" w:bidi="ar"/>
        </w:rPr>
      </w:pPr>
      <w:r>
        <w:rPr>
          <w:rFonts w:hint="eastAsia" w:ascii="仿宋_GB2312" w:hAnsi="宋体" w:eastAsia="仿宋_GB2312" w:cs="仿宋_GB2312"/>
          <w:color w:val="000000"/>
          <w:kern w:val="0"/>
          <w:sz w:val="31"/>
          <w:szCs w:val="31"/>
          <w:u w:val="none"/>
          <w:lang w:val="en-US" w:eastAsia="zh-CN" w:bidi="ar"/>
        </w:rPr>
        <w:t>各责任单位、各县区政府要明确责任分工、量化工作指标、细化推进举措。建立健全人社部门具体负责、有关部门各司其职、行业企业和社会各方广泛参与的高技能人才工作机制。统筹教育、人才、就业等经费，用于技能人才培养等领域资金保障并切实加强监管。市人社局牵头制定任务清单，各责任单位要压实工作责任，确保各项举措落地。市人社局按季调度各单位工作进展、完成情况及存在问题，及时汇总研判、督促推进，保障政策落地见效。强化以技能人才培育为核心的评价体系，每年开展一次评估研判，总结推广典型经验做法，动态调整优化工作举措，持续提升技能人才队伍建设质量和水平。对技能人才培育先进单位、先进个人，技能人才典型等进行表扬，持续营造重视、关心、尊重高技能人才的社会氛围。</w:t>
      </w:r>
      <w:r>
        <w:rPr>
          <w:rFonts w:hint="eastAsia" w:ascii="仿宋_GB2312" w:hAnsi="宋体" w:eastAsia="仿宋_GB2312" w:cs="仿宋_GB2312"/>
          <w:color w:val="000000"/>
          <w:kern w:val="0"/>
          <w:sz w:val="31"/>
          <w:szCs w:val="31"/>
          <w:u w:val="none"/>
          <w:lang w:val="en-US" w:eastAsia="zh-CN" w:bidi="ar"/>
        </w:rPr>
        <w:t>（责任单位：市人社局、各相关单位、各县区政府、园区管委会）</w:t>
      </w:r>
    </w:p>
    <w:p w14:paraId="69287A36">
      <w:pPr>
        <w:keepNext w:val="0"/>
        <w:keepLines w:val="0"/>
        <w:pageBreakBefore w:val="0"/>
        <w:widowControl/>
        <w:suppressLineNumbers w:val="0"/>
        <w:kinsoku/>
        <w:wordWrap/>
        <w:overflowPunct/>
        <w:topLinePunct w:val="0"/>
        <w:autoSpaceDE/>
        <w:autoSpaceDN/>
        <w:bidi w:val="0"/>
        <w:adjustRightInd/>
        <w:snapToGrid/>
        <w:spacing w:line="579" w:lineRule="exact"/>
        <w:ind w:firstLine="620" w:firstLineChars="200"/>
        <w:jc w:val="left"/>
        <w:textAlignment w:val="auto"/>
        <w:rPr>
          <w:rFonts w:hint="eastAsia" w:ascii="仿宋_GB2312" w:hAnsi="宋体" w:eastAsia="仿宋_GB2312" w:cs="仿宋_GB2312"/>
          <w:color w:val="000000"/>
          <w:kern w:val="0"/>
          <w:sz w:val="31"/>
          <w:szCs w:val="31"/>
          <w:u w:val="none"/>
          <w:lang w:val="en-US" w:eastAsia="zh-CN" w:bidi="ar"/>
        </w:rPr>
      </w:pPr>
      <w:r>
        <w:rPr>
          <w:rFonts w:hint="eastAsia" w:ascii="仿宋_GB2312" w:hAnsi="宋体" w:eastAsia="仿宋_GB2312" w:cs="仿宋_GB2312"/>
          <w:color w:val="000000"/>
          <w:kern w:val="0"/>
          <w:sz w:val="31"/>
          <w:szCs w:val="31"/>
          <w:u w:val="none"/>
          <w:lang w:val="en-US" w:eastAsia="zh-CN" w:bidi="ar"/>
        </w:rPr>
        <w:t>本文件自2026年1月1日起施行，有效期至2030年12月31日。本文件中省级统一规定的补贴项目，所需资金由省级承担的，市、县级不再另行安排该项补贴资金。</w:t>
      </w:r>
    </w:p>
    <w:sectPr>
      <w:footerReference r:id="rId3" w:type="default"/>
      <w:pgSz w:w="11906" w:h="16838"/>
      <w:pgMar w:top="1984" w:right="1474" w:bottom="2098"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altName w:val="Symbol"/>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F5AA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3C9E67">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C3C9E67">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823F31"/>
    <w:rsid w:val="0CE60F25"/>
    <w:rsid w:val="0F5D0F0F"/>
    <w:rsid w:val="0FA43B93"/>
    <w:rsid w:val="10C17DA3"/>
    <w:rsid w:val="152E6EF0"/>
    <w:rsid w:val="19F84DE0"/>
    <w:rsid w:val="257C4E68"/>
    <w:rsid w:val="267E1A8B"/>
    <w:rsid w:val="274B69BF"/>
    <w:rsid w:val="2B3C72FC"/>
    <w:rsid w:val="2B7E35DB"/>
    <w:rsid w:val="2E1C4065"/>
    <w:rsid w:val="307E16AD"/>
    <w:rsid w:val="327E44C6"/>
    <w:rsid w:val="35220044"/>
    <w:rsid w:val="3A5519C8"/>
    <w:rsid w:val="3AC60720"/>
    <w:rsid w:val="405A4F2D"/>
    <w:rsid w:val="4145464B"/>
    <w:rsid w:val="450A37AA"/>
    <w:rsid w:val="49834A60"/>
    <w:rsid w:val="4F5D4A6E"/>
    <w:rsid w:val="4FC86A66"/>
    <w:rsid w:val="516B7D39"/>
    <w:rsid w:val="5A014DB1"/>
    <w:rsid w:val="5F7F23E8"/>
    <w:rsid w:val="5F9D5527"/>
    <w:rsid w:val="619F1B31"/>
    <w:rsid w:val="737751A7"/>
    <w:rsid w:val="75823F31"/>
    <w:rsid w:val="79C11407"/>
    <w:rsid w:val="7B4A215C"/>
    <w:rsid w:val="7D9E4F6C"/>
    <w:rsid w:val="7F4340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table of authorities1"/>
    <w:next w:val="1"/>
    <w:qFormat/>
    <w:uiPriority w:val="0"/>
    <w:pPr>
      <w:widowControl w:val="0"/>
      <w:ind w:left="420" w:leftChars="200"/>
      <w:jc w:val="both"/>
    </w:pPr>
    <w:rPr>
      <w:rFonts w:ascii="仿宋_GB2312" w:hAnsi="华文中宋" w:eastAsia="宋体"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2026-05-17T01:11:00Z</dcterms:created>
  <dc:creator>Administrator</dc:creator>
  <cp:lastModifiedBy>Administrator</cp:lastModifiedBy>
  <cp:lastPrinted>2026-05-18T09:02:00Z</cp:lastPrinted>
  <dcterms:modified xsi:type="dcterms:W3CDTF">2026-05-22T01:06:02Z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F907F0E6AF864CAC812CBAE91E7208C1_13</vt:lpwstr>
  </property>
</Properties>
</file>