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9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/>
        </w:rPr>
      </w:pPr>
      <w:bookmarkStart w:id="0" w:name="_GoBack"/>
      <w:bookmarkEnd w:id="0"/>
    </w:p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9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/>
        </w:rPr>
      </w:pPr>
    </w:p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9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/>
        </w:rPr>
      </w:pPr>
      <w:r>
        <w:rPr>
          <w:rFonts w:hint="eastAsia" w:ascii="方正小标宋_GBK" w:hAnsi="方正小标宋_GBK" w:eastAsia="方正小标宋_GBK" w:cs="方正小标宋_GBK"/>
          <w:b w:val="0"/>
          <w:bCs/>
        </w:rPr>
        <w:t>关于进一步贯彻落实企业职工</w:t>
      </w:r>
    </w:p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9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/>
        </w:rPr>
      </w:pPr>
      <w:r>
        <w:rPr>
          <w:rFonts w:hint="eastAsia" w:ascii="方正小标宋_GBK" w:hAnsi="方正小标宋_GBK" w:eastAsia="方正小标宋_GBK" w:cs="方正小标宋_GBK"/>
          <w:b w:val="0"/>
          <w:bCs/>
        </w:rPr>
        <w:t>带薪年休假制度的通知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0"/>
        <w:jc w:val="center"/>
        <w:textAlignment w:val="baseline"/>
        <w:rPr>
          <w:rFonts w:hint="eastAsia" w:ascii="方正仿宋_GBK" w:hAnsi="方正仿宋_GBK" w:eastAsia="方正仿宋_GBK" w:cs="方正仿宋_GBK"/>
          <w:spacing w:val="-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12"/>
          <w:sz w:val="32"/>
          <w:szCs w:val="32"/>
        </w:rPr>
        <w:t>淮人社秘〔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2015〕82</w:t>
      </w:r>
      <w:r>
        <w:rPr>
          <w:rFonts w:hint="eastAsia" w:ascii="方正仿宋_GBK" w:hAnsi="方正仿宋_GBK" w:eastAsia="方正仿宋_GBK" w:cs="方正仿宋_GBK"/>
          <w:spacing w:val="-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0"/>
        <w:jc w:val="center"/>
        <w:textAlignment w:val="baseline"/>
        <w:rPr>
          <w:rFonts w:hint="eastAsia" w:ascii="方正仿宋_GBK" w:hAnsi="方正仿宋_GBK" w:eastAsia="方正仿宋_GBK" w:cs="方正仿宋_GBK"/>
          <w:spacing w:val="-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8"/>
          <w:sz w:val="32"/>
          <w:szCs w:val="32"/>
        </w:rPr>
        <w:t>凤台县、各区人力资源和社会保障局，市各有关单位：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16" w:firstLineChars="20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为进一步贯彻落实企业职工带薪年休假制度，建立和谐的劳</w:t>
      </w:r>
      <w:r>
        <w:rPr>
          <w:rFonts w:hint="eastAsia" w:ascii="方正仿宋_GBK" w:hAnsi="方正仿宋_GBK" w:eastAsia="方正仿宋_GBK" w:cs="方正仿宋_GBK"/>
          <w:spacing w:val="-5"/>
          <w:sz w:val="32"/>
          <w:szCs w:val="32"/>
        </w:rPr>
        <w:t>动关系，维护职工休息休假权利，调动职工工作积极性，提高工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作效率，促进各类企业生产持续健康发展，更好地指导用人单位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</w:rPr>
        <w:t>执行带薪年休假制度，根据《职工带薪年休假条例》(国务院</w:t>
      </w:r>
      <w:r>
        <w:rPr>
          <w:rFonts w:hint="eastAsia" w:ascii="方正仿宋_GBK" w:hAnsi="方正仿宋_GBK" w:eastAsia="方正仿宋_GBK" w:cs="方正仿宋_GBK"/>
          <w:spacing w:val="1"/>
          <w:sz w:val="32"/>
          <w:szCs w:val="32"/>
        </w:rPr>
        <w:t>令</w:t>
      </w:r>
      <w:r>
        <w:rPr>
          <w:rFonts w:hint="eastAsia" w:ascii="方正仿宋_GBK" w:hAnsi="方正仿宋_GBK" w:eastAsia="方正仿宋_GBK" w:cs="方正仿宋_GBK"/>
          <w:spacing w:val="-10"/>
          <w:sz w:val="32"/>
          <w:szCs w:val="32"/>
        </w:rPr>
        <w:t>第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514</w:t>
      </w:r>
      <w:r>
        <w:rPr>
          <w:rFonts w:hint="eastAsia" w:ascii="方正仿宋_GBK" w:hAnsi="方正仿宋_GBK" w:eastAsia="方正仿宋_GBK" w:cs="方正仿宋_GBK"/>
          <w:spacing w:val="-10"/>
          <w:sz w:val="32"/>
          <w:szCs w:val="32"/>
        </w:rPr>
        <w:t>号)、《企业职工带薪年休假实施办法》(人力资源和社会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保障部令第1号)的精神。结合我市实际，就贯彻落实企业职工带</w:t>
      </w:r>
      <w:r>
        <w:rPr>
          <w:rFonts w:hint="eastAsia" w:ascii="方正仿宋_GBK" w:hAnsi="方正仿宋_GBK" w:eastAsia="方正仿宋_GBK" w:cs="方正仿宋_GBK"/>
          <w:spacing w:val="-9"/>
          <w:sz w:val="32"/>
          <w:szCs w:val="32"/>
        </w:rPr>
        <w:t>薪年休假制度有关事项通知如下：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24" w:firstLineChars="20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一、各单位要切实提高认识、统一思想，认真贯彻落实国务</w:t>
      </w:r>
      <w:r>
        <w:rPr>
          <w:rFonts w:hint="eastAsia" w:ascii="方正仿宋_GBK" w:hAnsi="方正仿宋_GBK" w:eastAsia="方正仿宋_GBK" w:cs="方正仿宋_GBK"/>
          <w:spacing w:val="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5"/>
          <w:sz w:val="32"/>
          <w:szCs w:val="32"/>
        </w:rPr>
        <w:t>院和人力资源社会保障部有关规定，严格按照相关规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定执行，增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强执行带薪年休假制度的自觉性。从关心职工生活、维护职工合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法权益的高度出发，统筹安排，采取有效措施，组织实施好职工</w:t>
      </w:r>
      <w:r>
        <w:rPr>
          <w:rFonts w:hint="eastAsia" w:ascii="方正仿宋_GBK" w:hAnsi="方正仿宋_GBK" w:eastAsia="方正仿宋_GBK" w:cs="方正仿宋_GBK"/>
          <w:spacing w:val="-11"/>
          <w:sz w:val="32"/>
          <w:szCs w:val="32"/>
        </w:rPr>
        <w:t>带薪年休假制度。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16" w:firstLineChars="20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二、职工累计工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作已满1年不满10年的，年休假5天；已满10年不满20年的，年休假10天；已满20年的，年休假15天。国家法定休假日、休息日不计入年休假的假期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87" w:firstLineChars="200"/>
        <w:jc w:val="both"/>
        <w:textAlignment w:val="baseline"/>
        <w:rPr>
          <w:rFonts w:hint="eastAsia" w:ascii="方正仿宋_GBK" w:hAnsi="方正仿宋_GBK" w:eastAsia="方正仿宋_GBK" w:cs="方正仿宋_GBK"/>
          <w:b/>
          <w:bCs/>
          <w:spacing w:val="11"/>
          <w:sz w:val="32"/>
          <w:szCs w:val="32"/>
        </w:rPr>
        <w:sectPr>
          <w:headerReference r:id="rId5" w:type="default"/>
          <w:footerReference r:id="rId6" w:type="default"/>
          <w:pgSz w:w="12210" w:h="17040"/>
          <w:pgMar w:top="2064" w:right="1361" w:bottom="1837" w:left="1587" w:header="850" w:footer="992" w:gutter="0"/>
          <w:pgNumType w:fmt="numberInDash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87" w:firstLineChars="20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11"/>
          <w:sz w:val="32"/>
          <w:szCs w:val="32"/>
        </w:rPr>
        <w:t>三、</w:t>
      </w:r>
      <w:r>
        <w:rPr>
          <w:rFonts w:hint="eastAsia" w:ascii="方正仿宋_GBK" w:hAnsi="方正仿宋_GBK" w:eastAsia="方正仿宋_GBK" w:cs="方正仿宋_GBK"/>
          <w:spacing w:val="11"/>
          <w:sz w:val="32"/>
          <w:szCs w:val="32"/>
        </w:rPr>
        <w:t>建立健全年休假计划制度，各单位要结合实际，从年初</w:t>
      </w:r>
      <w:r>
        <w:rPr>
          <w:rFonts w:hint="eastAsia" w:ascii="方正仿宋_GBK" w:hAnsi="方正仿宋_GBK" w:eastAsia="方正仿宋_GBK" w:cs="方正仿宋_GBK"/>
          <w:spacing w:val="17"/>
          <w:sz w:val="32"/>
          <w:szCs w:val="32"/>
        </w:rPr>
        <w:t>开始安排职工轮流休假，做好全年职工休假计划工作，并指定专</w:t>
      </w:r>
      <w:r>
        <w:rPr>
          <w:rFonts w:hint="eastAsia" w:ascii="方正仿宋_GBK" w:hAnsi="方正仿宋_GBK" w:eastAsia="方正仿宋_GBK" w:cs="方正仿宋_GBK"/>
          <w:spacing w:val="19"/>
          <w:sz w:val="32"/>
          <w:szCs w:val="32"/>
        </w:rPr>
        <w:t>人负责落实。单位作出计划之后，职工无特殊情况应</w:t>
      </w:r>
      <w:r>
        <w:rPr>
          <w:rFonts w:hint="eastAsia" w:ascii="方正仿宋_GBK" w:hAnsi="方正仿宋_GBK" w:eastAsia="方正仿宋_GBK" w:cs="方正仿宋_GBK"/>
          <w:spacing w:val="18"/>
          <w:sz w:val="32"/>
          <w:szCs w:val="32"/>
        </w:rPr>
        <w:t>服从单位安</w:t>
      </w:r>
      <w:r>
        <w:rPr>
          <w:rFonts w:hint="eastAsia" w:ascii="方正仿宋_GBK" w:hAnsi="方正仿宋_GBK" w:eastAsia="方正仿宋_GBK" w:cs="方正仿宋_GBK"/>
          <w:spacing w:val="17"/>
          <w:sz w:val="32"/>
          <w:szCs w:val="32"/>
        </w:rPr>
        <w:t>排。对担负重大节日工作值守等一些性质特殊岗位，应当妥善处</w:t>
      </w:r>
      <w:r>
        <w:rPr>
          <w:rFonts w:hint="eastAsia" w:ascii="方正仿宋_GBK" w:hAnsi="方正仿宋_GBK" w:eastAsia="方正仿宋_GBK" w:cs="方正仿宋_GBK"/>
          <w:spacing w:val="14"/>
          <w:sz w:val="32"/>
          <w:szCs w:val="32"/>
        </w:rPr>
        <w:t>理好休假与工作关系，提前做好安排，分期错时实施年休假。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87" w:firstLineChars="20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11"/>
          <w:sz w:val="32"/>
          <w:szCs w:val="32"/>
        </w:rPr>
        <w:t>四、</w:t>
      </w:r>
      <w:r>
        <w:rPr>
          <w:rFonts w:hint="eastAsia" w:ascii="方正仿宋_GBK" w:hAnsi="方正仿宋_GBK" w:eastAsia="方正仿宋_GBK" w:cs="方正仿宋_GBK"/>
          <w:spacing w:val="11"/>
          <w:sz w:val="32"/>
          <w:szCs w:val="32"/>
        </w:rPr>
        <w:t>用人单位按职工未休年休假天数支付工资报酬时，应在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28"/>
          <w:sz w:val="32"/>
          <w:szCs w:val="32"/>
        </w:rPr>
        <w:t>支付职工正常工作的工资收入基础上，另外再支付其按日工资</w:t>
      </w: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>200%</w:t>
      </w:r>
      <w:r>
        <w:rPr>
          <w:rFonts w:hint="eastAsia" w:ascii="方正仿宋_GBK" w:hAnsi="方正仿宋_GBK" w:eastAsia="方正仿宋_GBK" w:cs="方正仿宋_GBK"/>
          <w:spacing w:val="18"/>
          <w:sz w:val="32"/>
          <w:szCs w:val="32"/>
        </w:rPr>
        <w:t>的标准计算的未休年休假工资报酬。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87" w:firstLineChars="20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11"/>
          <w:sz w:val="32"/>
          <w:szCs w:val="32"/>
        </w:rPr>
        <w:t>五、</w:t>
      </w:r>
      <w:r>
        <w:rPr>
          <w:rFonts w:hint="eastAsia" w:ascii="方正仿宋_GBK" w:hAnsi="方正仿宋_GBK" w:eastAsia="方正仿宋_GBK" w:cs="方正仿宋_GBK"/>
          <w:spacing w:val="11"/>
          <w:sz w:val="32"/>
          <w:szCs w:val="32"/>
        </w:rPr>
        <w:t>加强年休假执行情况监督检查，各级人力资源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社会保障</w:t>
      </w:r>
      <w:r>
        <w:rPr>
          <w:rFonts w:hint="eastAsia" w:ascii="方正仿宋_GBK" w:hAnsi="方正仿宋_GBK" w:eastAsia="方正仿宋_GBK" w:cs="方正仿宋_GBK"/>
          <w:spacing w:val="18"/>
          <w:sz w:val="32"/>
          <w:szCs w:val="32"/>
        </w:rPr>
        <w:t>部门每年至少开展一次专项检查，进一步加强日常劳动保障监察</w:t>
      </w:r>
      <w:r>
        <w:rPr>
          <w:rFonts w:hint="eastAsia" w:ascii="方正仿宋_GBK" w:hAnsi="方正仿宋_GBK" w:eastAsia="方正仿宋_GBK" w:cs="方正仿宋_GBK"/>
          <w:spacing w:val="17"/>
          <w:sz w:val="32"/>
          <w:szCs w:val="32"/>
        </w:rPr>
        <w:t>执法，畅通举报投诉渠道，及时办理涉及年休假纠纷的案件。对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于用人单位不安排职工休年休假又不依照规定支付未休年休假工</w:t>
      </w:r>
      <w:r>
        <w:rPr>
          <w:rFonts w:hint="eastAsia" w:ascii="方正仿宋_GBK" w:hAnsi="方正仿宋_GBK" w:eastAsia="方正仿宋_GBK" w:cs="方正仿宋_GBK"/>
          <w:spacing w:val="17"/>
          <w:sz w:val="32"/>
          <w:szCs w:val="32"/>
        </w:rPr>
        <w:t>资报酬的，由县级以上地方人民政府人力资源和社会保障行政部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门依据职权责令限期改正；对逾期不改正的，除责令该用人单位</w:t>
      </w:r>
      <w:r>
        <w:rPr>
          <w:rFonts w:hint="eastAsia" w:ascii="方正仿宋_GBK" w:hAnsi="方正仿宋_GBK" w:eastAsia="方正仿宋_GBK" w:cs="方正仿宋_GBK"/>
          <w:spacing w:val="15"/>
          <w:sz w:val="32"/>
          <w:szCs w:val="32"/>
        </w:rPr>
        <w:t>支付未休年休假工资报酬外，用人单位还应当按照未休年休假工</w:t>
      </w:r>
      <w:r>
        <w:rPr>
          <w:rFonts w:hint="eastAsia" w:ascii="方正仿宋_GBK" w:hAnsi="方正仿宋_GBK" w:eastAsia="方正仿宋_GBK" w:cs="方正仿宋_GBK"/>
          <w:spacing w:val="17"/>
          <w:sz w:val="32"/>
          <w:szCs w:val="32"/>
        </w:rPr>
        <w:t>资报酬的数额向职工加付赔偿金；对拒不执行支付未休年休假工</w:t>
      </w:r>
      <w:r>
        <w:rPr>
          <w:rFonts w:hint="eastAsia" w:ascii="方正仿宋_GBK" w:hAnsi="方正仿宋_GBK" w:eastAsia="方正仿宋_GBK" w:cs="方正仿宋_GBK"/>
          <w:spacing w:val="15"/>
          <w:sz w:val="32"/>
          <w:szCs w:val="32"/>
        </w:rPr>
        <w:t>资报酬、赔偿金行政处理决定的，由人力资源和社会保障行政部</w:t>
      </w:r>
      <w:r>
        <w:rPr>
          <w:rFonts w:hint="eastAsia" w:ascii="方正仿宋_GBK" w:hAnsi="方正仿宋_GBK" w:eastAsia="方正仿宋_GBK" w:cs="方正仿宋_GBK"/>
          <w:spacing w:val="9"/>
          <w:sz w:val="32"/>
          <w:szCs w:val="32"/>
        </w:rPr>
        <w:t>门申请人民法院强制执行。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0"/>
        <w:jc w:val="both"/>
        <w:textAlignment w:val="baseline"/>
        <w:rPr>
          <w:rFonts w:hint="eastAsia" w:ascii="方正仿宋_GBK" w:hAnsi="方正仿宋_GBK" w:eastAsia="方正仿宋_GBK" w:cs="方正仿宋_GBK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0"/>
        <w:jc w:val="right"/>
        <w:textAlignment w:val="baseline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pacing w:val="14"/>
          <w:position w:val="13"/>
          <w:sz w:val="30"/>
          <w:szCs w:val="30"/>
        </w:rPr>
        <w:t>淮南市人力资源和社会保障局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/>
        <w:jc w:val="right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kern w:val="2"/>
          <w:sz w:val="32"/>
          <w:szCs w:val="32"/>
          <w:lang w:val="en-US" w:eastAsia="zh-CN" w:bidi="ar-SA"/>
        </w:rPr>
        <w:t xml:space="preserve">2015年10月10日     </w:t>
      </w:r>
    </w:p>
    <w:sectPr>
      <w:footerReference r:id="rId7" w:type="default"/>
      <w:pgSz w:w="12210" w:h="17040"/>
      <w:pgMar w:top="2064" w:right="1361" w:bottom="1837" w:left="1587" w:header="850" w:footer="992" w:gutter="0"/>
      <w:pgNumType w:fmt="numberInDash" w:start="2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 w:cs="宋体"/>
        <w:sz w:val="26"/>
        <w:szCs w:val="26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posOffset>5640070</wp:posOffset>
              </wp:positionH>
              <wp:positionV relativeFrom="paragraph">
                <wp:posOffset>-256540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4.1pt;margin-top:-20.2pt;height:144pt;width:144pt;mso-position-horizontal-relative:margin;mso-wrap-style:none;z-index:251673600;mso-width-relative:page;mso-height-relative:page;" filled="f" stroked="f" coordsize="21600,21600" o:gfxdata="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SWtmUtgAAAAMAQAADwAAAAAAAAABACAAAAA4AAAAZHJzL2Rvd25yZXYueG1s&#10;UEsBAhQAFAAAAAgAh07iQOIy4A4bAgAAKQQAAA4AAAAAAAAAAQAgAAAAPQ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-124460</wp:posOffset>
              </wp:positionV>
              <wp:extent cx="5880735" cy="5715"/>
              <wp:effectExtent l="0" t="0" r="0" b="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true">
                        <a:off x="0" y="0"/>
                        <a:ext cx="5880735" cy="571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0.25pt;margin-top:-9.8pt;height:0.45pt;width:463.05pt;z-index:251664384;mso-width-relative:page;mso-height-relative:page;" filled="f" stroked="t" coordsize="21600,21600" o:gfxdata="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NVK4a7YAAAACAEA&#10;AA8AAAAAAAAAAQAgAAAAOAAAAGRycy9kb3ducmV2LnhtbFBLAQIUABQAAAAIAIdO4kDzh/5yywEA&#10;AF0DAAAOAAAAAAAAAAEAIAAAAD0BAABkcnMvZTJvRG9jLnhtbFBLBQYAAAAABgAGAFkBAAB6BQAA&#10;AAA=&#10;">
              <v:fill on="f" focussize="0,0"/>
              <v:stroke weight="1.75pt" color="#005192 [3204]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kern w:val="2"/>
        <w:sz w:val="32"/>
        <w:szCs w:val="32"/>
        <w:lang w:val="en-US" w:eastAsia="zh-CN" w:bidi="ar-SA"/>
      </w:rPr>
      <w:t>淮南市人力资源和社会保障局发布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 w:cs="宋体"/>
        <w:sz w:val="26"/>
        <w:szCs w:val="26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posOffset>5654675</wp:posOffset>
              </wp:positionH>
              <wp:positionV relativeFrom="paragraph">
                <wp:posOffset>-241300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5.25pt;margin-top:-19pt;height:144pt;width:144pt;mso-position-horizontal-relative:margin;mso-wrap-style:none;z-index:251674624;mso-width-relative:page;mso-height-relative:page;" filled="f" stroked="f" coordsize="21600,21600" o:gfxdata="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GCDfk7YAAAADAEAAA8AAAAAAAAAAQAgAAAAOAAAAGRycy9kb3ducmV2Lnht&#10;bFBLAQIUABQAAAAIAIdO4kAry2DMHAIAACkEAAAOAAAAAAAAAAEAIAAAAD0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-119380</wp:posOffset>
              </wp:positionV>
              <wp:extent cx="5887720" cy="635"/>
              <wp:effectExtent l="0" t="0" r="0" b="0"/>
              <wp:wrapNone/>
              <wp:docPr id="6" name="直接连接符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true">
                        <a:off x="0" y="0"/>
                        <a:ext cx="5887720" cy="1397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0.25pt;margin-top:-9.4pt;height:0.05pt;width:463.6pt;z-index:251672576;mso-width-relative:page;mso-height-relative:page;" filled="f" stroked="t" coordsize="21600,21600" o:gfxdata="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sEC/KdgAAAAI&#10;AQAADwAAAAAAAAABACAAAAA4AAAAZHJzL2Rvd25yZXYueG1sUEsBAhQAFAAAAAgAh07iQKn9YtnN&#10;AQAAXgMAAA4AAAAAAAAAAQAgAAAAPQEAAGRycy9lMm9Eb2MueG1sUEsFBgAAAAAGAAYAWQEAAHwF&#10;AAAAAA==&#10;">
              <v:fill on="f" focussize="0,0"/>
              <v:stroke weight="1.75pt" color="#005192 [3204]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kern w:val="2"/>
        <w:sz w:val="32"/>
        <w:szCs w:val="32"/>
        <w:lang w:val="en-US" w:eastAsia="zh-CN" w:bidi="ar-SA"/>
      </w:rPr>
      <w:t>淮南市人力资源和社会保障局发布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jc w:val="both"/>
      <w:textAlignment w:val="center"/>
      <w:outlineLvl w:val="9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</w:p>
  <w:p>
    <w:pPr>
      <w:pStyle w:val="4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274"/>
        <w:tab w:val="clear" w:pos="8306"/>
      </w:tabs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jc w:val="both"/>
      <w:textAlignment w:val="center"/>
      <w:outlineLvl w:val="9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drawing>
        <wp:inline distT="0" distB="0" distL="114300" distR="114300">
          <wp:extent cx="308610" cy="308610"/>
          <wp:effectExtent l="0" t="0" r="15240" b="15240"/>
          <wp:docPr id="15" name="图片 15" descr="国徽1024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 descr="国徽1024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淮南市人力资源和社会保障局规范性文件</w:t>
    </w:r>
  </w:p>
  <w:p>
    <w:pPr>
      <w:pStyle w:val="4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835"/>
        <w:tab w:val="clear" w:pos="4153"/>
      </w:tabs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jc w:val="both"/>
      <w:textAlignment w:val="center"/>
      <w:outlineLvl w:val="9"/>
    </w:pP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82550</wp:posOffset>
              </wp:positionV>
              <wp:extent cx="5900420" cy="635"/>
              <wp:effectExtent l="0" t="10795" r="5080" b="17145"/>
              <wp:wrapNone/>
              <wp:docPr id="13" name="直接连接符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0420" cy="63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15pt;margin-top:6.5pt;height:0.05pt;width:464.6pt;z-index:251660288;mso-width-relative:page;mso-height-relative:page;" filled="f" stroked="t" coordsize="21600,21600" o:gfxdata="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FLcsabSAAAABwEAAA8AAAAAAAAAAQAgAAAA&#10;OAAAAGRycy9kb3ducmV2LnhtbFBLAQIUABQAAAAIAIdO4kDd2z/LwgEAAFEDAAAOAAAAAAAAAAEA&#10;IAAAADcBAABkcnMvZTJvRG9jLnhtbFBLBQYAAAAABgAGAFkBAABrBQAAAAA=&#10;">
              <v:fill on="f" focussize="0,0"/>
              <v:stroke weight="1.75pt" color="#005192 [3204]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true"/>
  <w:documentProtection w:edit="readOnly" w:enforcement="1" w:cryptProviderType="rsaFull" w:cryptAlgorithmClass="hash" w:cryptAlgorithmType="typeAny" w:cryptAlgorithmSid="4" w:cryptSpinCount="0" w:hash="loHSsA1+mZpdG8OoOTwn5LHhMnc=" w:salt="kzwuJDQ8SUC0ihBrI/uxOQ==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C44B5F"/>
    <w:rsid w:val="D39F63D5"/>
    <w:rsid w:val="FAFDB1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917</Words>
  <Characters>937</Characters>
  <TotalTime>5</TotalTime>
  <ScaleCrop>false</ScaleCrop>
  <LinksUpToDate>false</LinksUpToDate>
  <CharactersWithSpaces>946</CharactersWithSpaces>
  <Application>WPS Office_11.8.2.10422_F1E327BC-269C-435d-A152-05C5408002CA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2022-11-29T08:12:00Z</dcterms:created>
  <dc:creator>Kingsoft-PDF</dc:creator>
  <cp:keywords>63846d4b2a3caf00153b354f</cp:keywords>
  <cp:lastModifiedBy>HNSW</cp:lastModifiedBy>
  <dcterms:modified xsi:type="dcterms:W3CDTF">2022-12-01T09:03:20Z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2022-11-28T16:12:04Z</vt:filetime>
  </property>
  <property fmtid="{D5CDD505-2E9C-101B-9397-08002B2CF9AE}" pid="4" name="KSOProductBuildVer">
    <vt:lpwstr>2052-11.8.2.10422</vt:lpwstr>
  </property>
  <property fmtid="{D5CDD505-2E9C-101B-9397-08002B2CF9AE}" pid="5" name="ICV">
    <vt:lpwstr>8A3C5B3C802844C382022448B5D95A15</vt:lpwstr>
  </property>
</Properties>
</file>